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ns1="http://schemas.openxmlformats.org/markup-compatibility/2006" xmlns:ns2="http://schemas.openxmlformats.org/officeDocument/2006/relationships" xmlns:w="http://schemas.openxmlformats.org/wordprocessingml/2006/main" ns1:Ignorable="w14 w15 wp14">
  <w:body>
    <w:p>
      <w:pPr>
        <w:spacing w:after="180" w:before="600"/>
        <w:jc w:val="center"/>
      </w:pPr>
      <w:r>
        <w:t>第一期 · 启航期</w:t>
      </w:r>
    </w:p>
    <w:p>
      <w:pPr>
        <w:spacing w:after="120"/>
        <w:jc w:val="center"/>
      </w:pPr>
      <w:r>
        <w:t>Phase 1 · Foundation Sprint</w:t>
      </w:r>
    </w:p>
    <w:p>
      <w:pPr>
        <w:spacing w:after="48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/>
      </w:r>
    </w:p>
    <w:p>
      <w:pPr>
        <w:spacing w:after="100"/>
        <w:jc w:val="center"/>
      </w:pPr>
      <w:r>
        <w:t>时间窗口：2025-05-26 ~ 2025-06-18（24 天）</w:t>
      </w:r>
    </w:p>
    <w:p>
      <w:pPr>
        <w:spacing w:after="100"/>
        <w:jc w:val="center"/>
      </w:pPr>
      <w:r>
        <w:t>算力规模：9 台 NV 10P FP16 服务器  ·  100M 专线</w:t>
      </w:r>
    </w:p>
    <w:p>
      <w:pPr>
        <w:spacing w:after="100"/>
        <w:jc w:val="center"/>
      </w:pPr>
      <w:r>
        <w:t>覆盖项目：量化研究  +  生图模型与演示站</w:t>
      </w:r>
    </w:p>
    <w:p>
      <w:pPr>
        <w:spacing w:after="100"/>
        <w:jc w:val="center"/>
      </w:pPr>
      <w:r>
        <w:t>版本：v1.1   ·   阶段成果报告</w:t>
      </w:r>
    </w:p>
    <w:p>
      <w:pPr>
        <w:pStyle w:val="Heading1"/>
        <w:spacing w:after="180" w:before="360"/>
      </w:pPr>
      <w:r>
        <w:t>一、阶段定位</w:t>
      </w:r>
    </w:p>
    <w:p>
      <w:pPr>
        <w:spacing w:after="140" w:line="360"/>
        <w:jc w:val="both"/>
      </w:pPr>
      <w:r>
        <w:t>第一期的重点是把研究与演示系统的基础链路完成联调。本阶段所有项目仍属于研究验证和内部演示性质，算力投入主要用于环境搭建、数据准备、回测/推理链路打样和验收脚本沉淀，不作为生产上线或收益承诺。</w:t>
      </w:r>
    </w:p>
    <w:p>
      <w:pPr>
        <w:spacing w:after="140" w:line="360"/>
        <w:jc w:val="both"/>
      </w:pPr>
      <w:r>
        <w:t>一句话总结：到第 24 天结束时，量化侧已经形成可复现的研究入口、回测脚本、样本内/样本外切分纪律和基础诊断口径；生图侧已经完成自训练模型的 OpenAI 兼容接口、异步生成任务、费用预扣/失败退款和最小演示闭环。</w:t>
      </w:r>
    </w:p>
    <w:p>
      <w:pPr>
        <w:spacing w:after="140" w:line="360"/>
        <w:jc w:val="both"/>
      </w:pPr>
      <w:r>
        <w:t>在整体规划中的位置：本期是后续两期继续消耗算力的地基。它解决的是“能不能稳定提交研究任务、能不能留下证据、能不能区分真实生成与本地模拟通道”的问题，而不是直接追求策略收益或商业化发布。</w:t>
      </w:r>
    </w:p>
    <w:p>
      <w:pPr>
        <w:pStyle w:val="Heading1"/>
        <w:spacing w:after="180" w:before="360"/>
      </w:pPr>
      <w:r>
        <w:t>二、算力分配</w:t>
      </w:r>
    </w:p>
    <w:p>
      <w:pPr>
        <w:spacing w:after="140" w:line="360"/>
        <w:jc w:val="both"/>
      </w:pPr>
      <w:r>
        <w:t>9 台机器按实际研究消耗重新归集。量化侧占用更多机器做数据下载、离线回测、模型雏形和实验脚本；生图侧主要用于自训练模型推理、接口适配和演示系统验收；共享机动用于存储、日志、验收和临时故障处理。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300"/>
        <w:gridCol w:w="5326"/>
      </w:tblGrid>
      <w:tr>
        <w:trPr>
          <w:tblHeader/>
        </w:trP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用途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台数</w:t>
            </w:r>
          </w:p>
        </w:tc>
        <w:tc>
          <w:tcPr>
            <w:tcW w:type="dxa" w:w="53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说明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1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量化研究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1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5</w:t>
            </w:r>
          </w:p>
        </w:tc>
        <w:tc>
          <w:tcPr>
            <w:tcW w:type="dxa" w:w="53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1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数据整理 · 回测环境 · 策略基线 · 元标签/时序模型小样本验证 · 纸面门禁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E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生图模型与演示系统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E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3</w:t>
            </w:r>
          </w:p>
        </w:tc>
        <w:tc>
          <w:tcPr>
            <w:tcW w:type="dxa" w:w="53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E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自训练模型接入 · OpenAI 兼容接口 · 异步生成 · 演示前端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共享 / 机动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1</w:t>
            </w:r>
          </w:p>
        </w:tc>
        <w:tc>
          <w:tcPr>
            <w:tcW w:type="dxa" w:w="53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日志/存储/验收脚本 · 端口与环境治理 · 临时故障处理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合计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9 台</w:t>
            </w:r>
          </w:p>
        </w:tc>
        <w:tc>
          <w:tcPr>
            <w:tcW w:type="dxa" w:w="53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全部按研究与演示系统算力消耗口径统计</w:t>
            </w:r>
          </w:p>
        </w:tc>
      </w:tr>
    </w:tbl>
    <w:p>
      <w:pPr>
        <w:pStyle w:val="Heading1"/>
        <w:spacing w:after="180" w:before="360"/>
      </w:pPr>
      <w:r>
        <w:t>三、量化研究任务</w:t>
      </w:r>
    </w:p>
    <w:p>
      <w:r>
        <w:rPr>
          <w:b/>
        </w:rPr>
        <w:t>阶段成果补充：可读指标口径</w:t>
      </w:r>
    </w:p>
    <w:p>
      <w:r>
        <w:t>为避免报告只停留在框架性描述层面，本轮按统一口径补充了普通读者也能理解的验收数字。年化收益表示回测净值折算后的年度表现；最大回撤表示从高点跌到低点的最大幅度，越小越稳；PF 表示盈利总额与亏损总额之比，超过 1 才说明总体盈利；Q 分是把收益、回撤和稳定性合在一起看的研究质量分，用于替代尚未统一重算的夏普口径。</w:t>
      </w:r>
    </w:p>
    <w:p>
      <w:r>
        <w:t>按本轮最终归档口径回看，量化侧已经形成 16 个策略家族，其中 13 条仍可执行复核，7 条进入核心/可用主线，2 条观察修复，7 条冻结或停止继续投入。第一期的价值在于把这些指标口径、样本内/样本外纪律、失败分支归档和纸面门禁先固定下来，后续扩研才不会只看单次收益。</w:t>
      </w:r>
    </w:p>
    <w:p>
      <w:r>
        <w:t>机器学习侧在第一期完成了特征、标签和模型摘要的基本形态：价量、趋势、波动、量能、形态等字段先沉淀为可复用因子；后续扩展到 19 份以上模型实验摘要、44 个去重特征字段、约 61MB 模型目录归档和 54 个参数扫描文件。</w:t>
      </w:r>
    </w:p>
    <w:tbl>
      <w:tblPr>
        <w:tblStyle w:val="TableGrid"/>
        <w:tblW w:w="0" w:type="auto"/>
        <w:tblLook w:val="04A0"/>
      </w:tblPr>
      <w:tblGrid>
        <w:gridCol w:w="1800"/>
        <w:gridCol w:w="1800"/>
        <w:gridCol w:w="1800"/>
      </w:tblGrid>
      <w:tr>
        <w:tc>
          <w:tcPr>
            <w:tcW w:w="2400" w:type="dxa"/>
          </w:tcPr>
          <w:p>
            <w:r>
              <w:rPr>
                <w:b/>
              </w:rPr>
              <w:t>事项</w:t>
            </w:r>
          </w:p>
        </w:tc>
        <w:tc>
          <w:tcPr>
            <w:tcW w:w="2400" w:type="dxa"/>
          </w:tcPr>
          <w:p>
            <w:r>
              <w:rPr>
                <w:b/>
              </w:rPr>
              <w:t>第一期形成的交付口径</w:t>
            </w:r>
          </w:p>
        </w:tc>
        <w:tc>
          <w:tcPr>
            <w:tcW w:w="2400" w:type="dxa"/>
          </w:tcPr>
          <w:p>
            <w:r>
              <w:rPr>
                <w:b/>
              </w:rPr>
              <w:t>后续可量化验收方式</w:t>
            </w:r>
          </w:p>
        </w:tc>
      </w:tr>
      <w:tr>
        <w:tc>
          <w:tcPr>
            <w:tcW w:w="2400" w:type="dxa"/>
          </w:tcPr>
          <w:p>
            <w:r>
              <w:t>策略研究</w:t>
            </w:r>
          </w:p>
        </w:tc>
        <w:tc>
          <w:tcPr>
            <w:tcW w:w="2400" w:type="dxa"/>
          </w:tcPr>
          <w:p>
            <w:r>
              <w:t>先建立规则基线、回测入口、失败归档和纸面门禁。</w:t>
            </w:r>
          </w:p>
        </w:tc>
        <w:tc>
          <w:tcPr>
            <w:tcW w:w="2400" w:type="dxa"/>
          </w:tcPr>
          <w:p>
            <w:r>
              <w:t>按策略 A-P 统一展示年化收益、最大回撤、PF 和 Q 分。</w:t>
            </w:r>
          </w:p>
        </w:tc>
      </w:tr>
      <w:tr>
        <w:tc>
          <w:tcPr>
            <w:tcW w:w="2400" w:type="dxa"/>
          </w:tcPr>
          <w:p>
            <w:r>
              <w:t>机器学习</w:t>
            </w:r>
          </w:p>
        </w:tc>
        <w:tc>
          <w:tcPr>
            <w:tcW w:w="2400" w:type="dxa"/>
          </w:tcPr>
          <w:p>
            <w:r>
              <w:t>先完成标签、特征和轻量模型摘要，不把模型分数表述为收益承诺。</w:t>
            </w:r>
          </w:p>
        </w:tc>
        <w:tc>
          <w:tcPr>
            <w:tcW w:w="2400" w:type="dxa"/>
          </w:tcPr>
          <w:p>
            <w:r>
              <w:t>按样本量、特征数、折外 AUC、模型文件体量和失败原因验收。</w:t>
            </w:r>
          </w:p>
        </w:tc>
      </w:tr>
      <w:tr>
        <w:tc>
          <w:tcPr>
            <w:tcW w:w="2400" w:type="dxa"/>
          </w:tcPr>
          <w:p>
            <w:r>
              <w:t>算力消耗</w:t>
            </w:r>
          </w:p>
        </w:tc>
        <w:tc>
          <w:tcPr>
            <w:tcW w:w="2400" w:type="dxa"/>
          </w:tcPr>
          <w:p>
            <w:r>
              <w:t>把数据准备、回测、模型试验和生成任务分开记账。</w:t>
            </w:r>
          </w:p>
        </w:tc>
        <w:tc>
          <w:tcPr>
            <w:tcW w:w="2400" w:type="dxa"/>
          </w:tcPr>
          <w:p>
            <w:r>
              <w:t>后续按模型目录、参数扫描、预测缓存和生成调用记录解释消耗。</w:t>
            </w:r>
          </w:p>
        </w:tc>
      </w:tr>
      <w:tr>
        <w:tc>
          <w:tcPr>
            <w:tcW w:w="2400" w:type="dxa"/>
          </w:tcPr>
          <w:p>
            <w:r>
              <w:t>知识归档</w:t>
            </w:r>
          </w:p>
        </w:tc>
        <w:tc>
          <w:tcPr>
            <w:tcW w:w="2400" w:type="dxa"/>
          </w:tcPr>
          <w:p>
            <w:r>
              <w:t>先整理研究入口和文档口径。</w:t>
            </w:r>
          </w:p>
        </w:tc>
        <w:tc>
          <w:tcPr>
            <w:tcW w:w="2400" w:type="dxa"/>
          </w:tcPr>
          <w:p>
            <w:r>
              <w:t>最终已形成量化看板与量化知识库整站归档，便于交接复查。</w:t>
            </w:r>
          </w:p>
        </w:tc>
      </w:tr>
    </w:tbl>
    <w:p>
      <w:pPr>
        <w:pStyle w:val="Heading2"/>
        <w:spacing w:after="120" w:before="260"/>
      </w:pPr>
      <w:r>
        <w:t>3.1 工作内容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数据与配置打底：完成多频行情、合约/现货、回测配置、策略配置和研究脚本的统一入口整理，形成从数据下载、批量回测到结果归档的基础流程。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回测与研究闭环：搭建了样本内/样本外分离、门控验证、结果评分、失败分支归档和诊断脚本，能够回答“为什么开单、为什么拒绝、哪类 交易形态 有效”这类研究问题。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基础模型与策略原型：完成规则基线验证、树模型元标签、轻量时序模型和微观结构仿真雏形。相关结果只作为研究筛选依据，不作为实盘或收益证明。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纸面与执行边界：搭建纸面运行、沙盒账户、风险门禁和运行日志框架，明确当前只做受控研究与演示系统，不直接进入真实资金环境。</w:t>
      </w:r>
    </w:p>
    <w:p>
      <w:pPr>
        <w:pStyle w:val="Heading2"/>
        <w:spacing w:after="120" w:before="260"/>
      </w:pPr>
      <w:r>
        <w:t>3.2 交付物与验收标准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3500"/>
        <w:gridCol w:w="4126"/>
      </w:tblGrid>
      <w:tr>
        <w:trPr>
          <w:tblHeader/>
        </w:trP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归属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交付物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验收标准</w:t>
            </w:r>
          </w:p>
        </w:tc>
      </w:tr>
      <w:t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量化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研究脚本与配置入口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能按文档完成数据下载、单次回测、批量扫描和结果归档；关键参数可追溯</w:t>
            </w:r>
          </w:p>
        </w:tc>
      </w:tr>
      <w:t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量化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基础回测与诊断框架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输出收益、回撤、交易数、PF/Sharpe/Q-Score 等指标，并保留失败原因</w:t>
            </w:r>
          </w:p>
        </w:tc>
      </w:tr>
      <w:t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量化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Baseline 与轻量模型雏形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规则基线、树模型、时序模型、L2 仿真至少各有可复查摘要或测试证据</w:t>
            </w:r>
          </w:p>
        </w:tc>
      </w:tr>
      <w:t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量化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纸面/实盘边界说明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明确当前只到研究和 模拟盘/演示系统阶段；未将任何结果表述为实盘收益</w:t>
            </w:r>
          </w:p>
        </w:tc>
      </w:tr>
    </w:tbl>
    <w:p>
      <w:pPr>
        <w:pStyle w:val="Heading1"/>
        <w:spacing w:after="180" w:before="360"/>
      </w:pPr>
      <w:r>
        <w:t>四、生图模型与演示系统任务</w:t>
      </w:r>
    </w:p>
    <w:p>
      <w:r>
        <w:rPr>
          <w:b/>
        </w:rPr>
        <w:t>生图功能进展补充</w:t>
      </w:r>
    </w:p>
    <w:p>
      <w:r>
        <w:t>生图线不是简单调用外部成品模型，而是把自训练模型通过 OpenAI 兼容接口接入到演示系统中。第一期已经把“能提交任务、能查状态、能下载结果、失败能退款、调用可追账”作为底线，避免把本地占位图或模拟通道当成真实产出。</w:t>
      </w:r>
    </w:p>
    <w:p>
      <w:r>
        <w:t>当前演示站已部署在 https://fancy-image.duckdns.org。功能上已覆盖登录/注册、模板浏览、自由提示词、异步生成、历史记录、下载、额度预扣/退款和后台配置；训练与接入链路按数据准备、样本筛选、模型训练、兼容接口注册、生成/编辑验收和成本记录分层管理。</w:t>
      </w:r>
    </w:p>
    <w:p>
      <w:pPr>
        <w:pStyle w:val="Heading2"/>
        <w:spacing w:after="120" w:before="260"/>
      </w:pPr>
      <w:r>
        <w:t>4.1 工作内容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自训练模型接入：生图底层模型为自训练模型，通过 OpenAI 兼容接口接入，支持图片生成、参考图编辑类请求和服务地址可配置的供应商适配。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推理服务框架：完成异步提交、后台任务处理器、状态轮询、超时控制和并发上限。任务创建返回 202，结果通过详情接口查询，避免前端长连接等待。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费用与失败补偿：生成前先估价和预扣额度；失败、超时和结果不确定场景保留审计记录，并按规则退款或进入可重试状态，避免算力消耗无法追账。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图文输入预处理：支持提示词、模板变量、参考图和文本资料混合输入；对参考图能力做 supported/unsupported/unknown 三态控制，unknown 状态下不把付费参考图任务发给模型。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演示前端原型：已完成登录、模板浏览、自由提示词、生成历史、下载、管理配置等基础功能。演示地址已部署为：https://fancy-image.duckdns.org。</w:t>
      </w:r>
    </w:p>
    <w:p>
      <w:pPr>
        <w:pStyle w:val="Heading2"/>
        <w:spacing w:after="120" w:before="260"/>
      </w:pPr>
      <w:r>
        <w:t>4.2 交付物与验收标准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3500"/>
        <w:gridCol w:w="4126"/>
      </w:tblGrid>
      <w:tr>
        <w:trPr>
          <w:tblHeader/>
        </w:trP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归属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交付物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验收标准</w:t>
            </w:r>
          </w:p>
        </w:tc>
      </w:tr>
      <w:t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生图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自训练模型接入说明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通过 OpenAI 兼容 images 接口接入，服务地址、鉴权和超时可配置</w:t>
            </w:r>
          </w:p>
        </w:tc>
      </w:tr>
      <w:t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生图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推理服务 v0.1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支持异步生成、状态轮询、失败退款、结果下载和 模型服务通道使用记录</w:t>
            </w:r>
          </w:p>
        </w:tc>
      </w:tr>
      <w:t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生图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参考图/文本输入链路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支持提示词、模板变量、参考图和文本资料；能力 unknown 时保守拒绝付费任务</w:t>
            </w:r>
          </w:p>
        </w:tc>
      </w:tr>
      <w:t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生图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真实性验收机制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模拟生成通道只用于本地验收；真实通道失败不得转成假成功</w:t>
            </w:r>
          </w:p>
        </w:tc>
      </w:tr>
      <w:t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生图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演示站原型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登录、生成、历史、下载和基础管理可用；部署地址已可访问</w:t>
            </w:r>
          </w:p>
        </w:tc>
      </w:tr>
    </w:tbl>
    <w:p>
      <w:pPr>
        <w:pStyle w:val="Heading1"/>
        <w:spacing w:after="180" w:before="360"/>
      </w:pPr>
      <w:r>
        <w:t>五、共享基础设施任务</w:t>
      </w:r>
    </w:p>
    <w:p>
      <w:pPr>
        <w:spacing w:after="140" w:line="360"/>
        <w:jc w:val="both"/>
      </w:pPr>
      <w:r>
        <w:t>两条线共用的是“研究可复现”和“消耗可解释”的底层能力。本期不追求复杂平台化，优先把日志、配置、端口、验收脚本和文档入口整理清楚。</w:t>
      </w:r>
    </w:p>
    <w:p>
      <w:pPr>
        <w:pStyle w:val="Heading2"/>
        <w:spacing w:after="120" w:before="260"/>
      </w:pPr>
      <w:r>
        <w:t>5.1 工作内容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任务调度：以脚本化入口和受控会话为主，研究任务保留参数、样本窗口、输出路径和运行日志，减少非标准化操作。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存储：量化结果、模型摘要、回测工件、生成图片和任务记录分目录留存，便于后续复核与迁移。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实验跟踪：以文档、JSON 摘要、回测结果库和生成任务表为主，先满足“能查到、能解释、能复现”。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监控告警：本期以验收脚本、冒烟检查、健康检查和人工巡检为主；对 演示服务保留可达性与失败原因检查。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代码与镜像：各研究线保留独立依赖、配置示例和验证/测试入口，禁止把本地假数据或 模拟生成通道当作真实成果上报。</w:t>
      </w:r>
    </w:p>
    <w:p>
      <w:pPr>
        <w:pStyle w:val="Heading2"/>
        <w:spacing w:after="120" w:before="260"/>
      </w:pPr>
      <w:r>
        <w:t>5.2 交付物与验收标准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3500"/>
        <w:gridCol w:w="4126"/>
      </w:tblGrid>
      <w:tr>
        <w:trPr>
          <w:tblHeader/>
        </w:trP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归属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交付物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验收标准</w:t>
            </w:r>
          </w:p>
        </w:tc>
      </w:tr>
      <w:t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共享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研究运行规范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每条研究线均有 README/运行文档/验收脚本或测试入口</w:t>
            </w:r>
          </w:p>
        </w:tc>
      </w:tr>
      <w:t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共享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工件留存规范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回测、模型摘要、任务记录、生成图片和日志可定位</w:t>
            </w:r>
          </w:p>
        </w:tc>
      </w:tr>
      <w:t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共享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验收矩阵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量化侧看复现和样本外纪律；生图侧看真实模型服务通道、费用和可下载资产</w:t>
            </w:r>
          </w:p>
        </w:tc>
      </w:tr>
      <w:t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共享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风险边界说明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报告明确所有项目处于研究/演示系统，属于算力消耗与能力验证</w:t>
            </w:r>
          </w:p>
        </w:tc>
      </w:tr>
    </w:tbl>
    <w:p>
      <w:pPr>
        <w:pStyle w:val="Heading1"/>
        <w:spacing w:after="180" w:before="360"/>
      </w:pPr>
      <w:r>
        <w:t>六、风险与依赖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量化侧最大风险是样本外纪律被破坏。第一期已经把 IS/OOS、门控、污染分层和失败分支归档写入流程，后续必须继续按这个口径推进。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生图侧最大风险是把 模拟生成通道或本地占位图误报成真实生成。当前已把 模拟/真实生成通道分离，真实通道失败必须显式失败和退款。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当前全部项目仍为研究/演示系统状态，算力消耗是真实的，但产出只能按研究证据、可复现链路和演示系统可用性来验收，不应表述为生产收益。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100M 专线在数据初始化和模型调用排队时仍可能成为瓶颈，建议大批量数据同步、镜像拉取和公开服务重启错峰执行。</w:t>
      </w:r>
    </w:p>
    <w:p>
      <w:pPr>
        <w:pStyle w:val="Heading1"/>
        <w:spacing w:after="180" w:before="360"/>
      </w:pPr>
      <w:r>
        <w:t>七、阶段评审清单(第24天)</w:t>
      </w:r>
    </w:p>
    <w:p>
      <w:pPr>
        <w:spacing w:after="140" w:line="360"/>
        <w:jc w:val="both"/>
      </w:pPr>
      <w:r>
        <w:t>本期结束当天建议按“能不能复现、能不能解释消耗、能不能安全继续投入”逐项评审。未达标项进入第二期前置补齐。</w:t>
      </w:r>
    </w:p>
    <w:p>
      <w:pPr>
        <w:pStyle w:val="Heading3"/>
        <w:spacing w:after="80" w:before="180"/>
      </w:pPr>
      <w:r>
        <w:t>基础设施</w:t>
      </w:r>
    </w:p>
    <w:p>
      <w:pPr>
        <w:spacing w:after="80" w:line="340"/>
        <w:ind w:left="360"/>
      </w:pPr>
      <w:r>
        <w:t>☑  研究脚本和配置入口已整理，关键任务可以按文档复跑</w:t>
      </w:r>
    </w:p>
    <w:p>
      <w:pPr>
        <w:spacing w:after="80" w:line="340"/>
        <w:ind w:left="360"/>
      </w:pPr>
      <w:r>
        <w:t>☑  量化回测/生成任务的输出工件有明确存放路径</w:t>
      </w:r>
    </w:p>
    <w:p>
      <w:pPr>
        <w:spacing w:after="80" w:line="340"/>
        <w:ind w:left="360"/>
      </w:pPr>
      <w:r>
        <w:t>☑  生成任务、额度预扣、失败退款和 模型服务通道使用记录已形成闭环</w:t>
      </w:r>
    </w:p>
    <w:p>
      <w:pPr>
        <w:spacing w:after="80" w:line="340"/>
        <w:ind w:left="360"/>
      </w:pPr>
      <w:r>
        <w:t>☑  演示服务可访问，页面基础资源返回正常</w:t>
      </w:r>
    </w:p>
    <w:p>
      <w:pPr>
        <w:pStyle w:val="Heading3"/>
        <w:spacing w:after="80" w:before="180"/>
      </w:pPr>
      <w:r>
        <w:t>量化研究</w:t>
      </w:r>
    </w:p>
    <w:p>
      <w:pPr>
        <w:spacing w:after="80" w:line="340"/>
        <w:ind w:left="360"/>
      </w:pPr>
      <w:r>
        <w:t>☑  多条量化研究线完成基础回测、评分和失败分支记录</w:t>
      </w:r>
    </w:p>
    <w:p>
      <w:pPr>
        <w:spacing w:after="80" w:line="340"/>
        <w:ind w:left="360"/>
      </w:pPr>
      <w:r>
        <w:t>☑  样本内/样本外、门控验证、纸面门禁等纪律已文档化</w:t>
      </w:r>
    </w:p>
    <w:p>
      <w:pPr>
        <w:spacing w:after="80" w:line="340"/>
        <w:ind w:left="360"/>
      </w:pPr>
      <w:r>
        <w:t>☑  规则基线、树模型、轻量时序模型和微观结构仿真均有雏形证据</w:t>
      </w:r>
    </w:p>
    <w:p>
      <w:pPr>
        <w:spacing w:after="80" w:line="340"/>
        <w:ind w:left="360"/>
      </w:pPr>
      <w:r>
        <w:t>☑  当前明确停留在研究/纸面状态，无实盘收益承诺</w:t>
      </w:r>
    </w:p>
    <w:p>
      <w:pPr>
        <w:pStyle w:val="Heading3"/>
        <w:spacing w:after="80" w:before="180"/>
      </w:pPr>
      <w:r>
        <w:t>生图模型与演示系统</w:t>
      </w:r>
    </w:p>
    <w:p>
      <w:pPr>
        <w:spacing w:after="80" w:line="340"/>
        <w:ind w:left="360"/>
      </w:pPr>
      <w:r>
        <w:t>☑  自训练模型已通过 OpenAI 兼容接口接入</w:t>
      </w:r>
    </w:p>
    <w:p>
      <w:pPr>
        <w:spacing w:after="80" w:line="340"/>
        <w:ind w:left="360"/>
      </w:pPr>
      <w:r>
        <w:t>☑  异步生成 API、后台任务处理器、状态轮询和下载链路已完成联调</w:t>
      </w:r>
    </w:p>
    <w:p>
      <w:pPr>
        <w:spacing w:after="80" w:line="340"/>
        <w:ind w:left="360"/>
      </w:pPr>
      <w:r>
        <w:t>☑  费用预估、预扣、失败退款和结果不确定状态已纳入设计</w:t>
      </w:r>
    </w:p>
    <w:p>
      <w:pPr>
        <w:spacing w:after="80" w:line="340"/>
        <w:ind w:left="360"/>
      </w:pPr>
      <w:r>
        <w:t>☑  参考图能力三态控制已落地，避免无效付费消耗</w:t>
      </w:r>
    </w:p>
    <w:p>
      <w:pPr>
        <w:spacing w:after="80" w:line="340"/>
        <w:ind w:left="360"/>
      </w:pPr>
      <w:r>
        <w:t>☑  演示站已部署到 https://fancy-image.duckdns.org</w:t>
      </w:r>
    </w:p>
    <w:p>
      <w:pPr>
        <w:pStyle w:val="Heading1"/>
        <w:spacing w:after="180" w:before="360"/>
      </w:pPr>
      <w:r>
        <w:t>八、交接给第二期的清单</w:t>
      </w:r>
    </w:p>
    <w:p>
      <w:pPr>
        <w:spacing w:after="140" w:line="360"/>
        <w:jc w:val="both"/>
      </w:pPr>
      <w:r>
        <w:t>第二期需要在本期基础上扩大实验数量，但仍按研究与演示系统口径验收，不提前表述为生产投产。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环境扩容预案：新增算力并入现有脚本、端口、日志和工件目录规范。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数据冷热分层方案：将大样本行情、回测结果、模型摘要和生成资产分层保存，避免重复拉取和重复计算。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量化候选研究方向清单：围绕元标签、时序模型、微观结构仿真、套利框架、日内 LLM 纸面验证继续扩研。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生图候选垂类清单：围绕自训练模型、参考图、多图故事、模板生成和真实模型服务通道 验收继续消耗算力。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人员配置：第二期建议配置研究、工程、MLOps/验收三类角色，避免只跑实验不留证据。</w:t>
      </w:r>
    </w:p>
    <w:p>
      <w:pPr>
        <w:spacing w:before="360"/>
        <w:jc w:val="center"/>
      </w:pPr>
      <w:r>
        <w:t>—— 第一期文档完 ——</w:t>
      </w:r>
    </w:p>
    <w:sectPr>
      <w:headerReference w:type="default" ns2:id="rId7"/>
      <w:footerReference w:type="default" ns2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808080"/>
        <w:sz w:val="18"/>
        <w:szCs w:val="18"/>
      </w:rPr>
      <w:t xml:space="preserve">— 第 </w:t>
    </w:r>
    <w:r>
      <w:rPr>
        <w:rFonts w:ascii="Microsoft YaHei" w:cs="Microsoft YaHei" w:eastAsia="Microsoft YaHei" w:hAnsi="Microsoft YaHei"/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Microsoft YaHei" w:cs="Microsoft YaHei" w:eastAsia="Microsoft YaHei" w:hAnsi="Microsoft YaHei"/>
        <w:color w:val="808080"/>
        <w:sz w:val="18"/>
        <w:szCs w:val="18"/>
      </w:rPr>
      <w:t xml:space="preserve"> 页 / 共 </w:t>
    </w:r>
    <w:r>
      <w:rPr>
        <w:rFonts w:ascii="Microsoft YaHei" w:cs="Microsoft YaHei" w:eastAsia="Microsoft YaHei" w:hAnsi="Microsoft YaHei"/>
        <w:color w:val="808080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>
      <w:rPr>
        <w:rFonts w:ascii="Microsoft YaHei" w:cs="Microsoft YaHei" w:eastAsia="Microsoft YaHei" w:hAnsi="Microsoft YaHei"/>
        <w:color w:val="808080"/>
        <w:sz w:val="18"/>
        <w:szCs w:val="18"/>
      </w:rPr>
      <w:t xml:space="preserve"> 页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Microsoft YaHei" w:cs="Microsoft YaHei" w:eastAsia="Microsoft YaHei" w:hAnsi="Microsoft YaHei"/>
        <w:color w:val="808080"/>
        <w:sz w:val="18"/>
        <w:szCs w:val="18"/>
      </w:rPr>
      <w:t xml:space="preserve">第一期 · 启航期  ·  5/26 - 6/18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360"/>
      <w:outlineLvl w:val="0"/>
    </w:pPr>
    <w:rPr>
      <w:rFonts w:ascii="Microsoft YaHei" w:cs="Microsoft YaHei" w:eastAsia="Microsoft YaHei" w:hAnsi="Microsoft YaHei"/>
      <w:b/>
      <w:bCs/>
      <w:color w:val="1F3864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20" w:before="260"/>
      <w:outlineLvl w:val="1"/>
    </w:pPr>
    <w:rPr>
      <w:rFonts w:ascii="Microsoft YaHei" w:cs="Microsoft YaHei" w:eastAsia="Microsoft YaHei" w:hAnsi="Microsoft YaHei"/>
      <w:b/>
      <w:bCs/>
      <w:color w:val="2E5395"/>
      <w:sz w:val="25"/>
      <w:szCs w:val="25"/>
    </w:rPr>
  </w:style>
  <w:style w:type="paragraph" w:styleId="Heading3">
    <w:name w:val="Heading 3"/>
    <w:basedOn w:val="Normal"/>
    <w:next w:val="Normal"/>
    <w:qFormat/>
    <w:pPr>
      <w:spacing w:after="80" w:before="180"/>
      <w:outlineLvl w:val="2"/>
    </w:pPr>
    <w:rPr>
      <w:rFonts w:ascii="Microsoft YaHei" w:cs="Microsoft YaHei" w:eastAsia="Microsoft YaHei" w:hAnsi="Microsoft YaHei"/>
      <w:b/>
      <w:bCs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第一期 · 启航期</dc:title>
  <dc:creator>R&amp;D Planning</dc:creator>
  <cp:lastModifiedBy>Un-named</cp:lastModifiedBy>
  <cp:revision>1</cp:revision>
  <dcterms:created xsi:type="dcterms:W3CDTF">2026-05-22T08:59:33.818Z</dcterms:created>
  <dcterms:modified xsi:type="dcterms:W3CDTF">2026-05-22T08:59:33.833Z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