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15 wp14">
  <w:body>
    <w:p>
      <w:pPr>
        <w:spacing w:after="180" w:before="600"/>
        <w:jc w:val="center"/>
      </w:pPr>
      <w:r>
        <w:t>第三期 · 峰值与收敛期</w:t>
      </w:r>
    </w:p>
    <w:p>
      <w:pPr>
        <w:spacing w:after="120"/>
        <w:jc w:val="center"/>
      </w:pPr>
      <w:r>
        <w:t>Phase 3 · Peak Execution &amp; Convergence</w:t>
      </w:r>
    </w:p>
    <w:p>
      <w:pPr>
        <w:spacing w:after="4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/>
      </w:r>
    </w:p>
    <w:p>
      <w:pPr>
        <w:spacing w:after="100"/>
        <w:jc w:val="center"/>
      </w:pPr>
      <w:r>
        <w:t>时间窗口:2025-08-31 ~ 2026-01-31(154 天)</w:t>
      </w:r>
    </w:p>
    <w:p>
      <w:pPr>
        <w:spacing w:after="100"/>
        <w:jc w:val="center"/>
      </w:pPr>
      <w:r>
        <w:t>算力规模:36 → 27 → 16 台 · 100M × 3 专线(逐步退场)</w:t>
      </w:r>
    </w:p>
    <w:p>
      <w:pPr>
        <w:spacing w:after="100"/>
        <w:jc w:val="center"/>
      </w:pPr>
      <w:r>
        <w:t>覆盖项目:量化研究  +  生图模型与演示站</w:t>
      </w:r>
    </w:p>
    <w:p>
      <w:pPr>
        <w:spacing w:after="100"/>
        <w:jc w:val="center"/>
      </w:pPr>
      <w:r>
        <w:t>版本:v1.1   ·   阶段成果报告</w:t>
      </w:r>
    </w:p>
    <w:p>
      <w:pPr>
        <w:pStyle w:val="Heading1"/>
        <w:spacing w:after="180" w:before="360"/>
      </w:pPr>
      <w:r>
        <w:t>一、阶段定位</w:t>
      </w:r>
    </w:p>
    <w:p>
      <w:r>
        <w:rPr>
          <w:b/>
        </w:rPr>
        <w:t>第三期收敛结果总览</w:t>
      </w:r>
    </w:p>
    <w:p>
      <w:r>
        <w:t>第三期的重点不是继续扩散方向，而是把第二期形成的证据收敛成能交接的资产：策略层形成策略 A-P 的指标表；模型层形成 19 份以上实验摘要、44 个去重因子字段和约 61MB 模型归档；代码层复制 377 个策略 Python 文件到成果看板；知识层把量化知识库整站 397 个静态文件纳入展示。</w:t>
      </w:r>
    </w:p>
    <w:p>
      <w:r>
        <w:t>策略结果按普通口径可以概括为：核心/可用主线 7 条，其中最高年化收益 38.7%，最低最大回撤 2.8%，最高 PF 3.30，最高 Q 分 11.31；观察线 2 条仍为正收益但优势不够厚；冻结或关闭的 7 条主要因为样本外为负、重复度高或收益体量不足。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交付物</w:t>
            </w:r>
          </w:p>
        </w:tc>
        <w:tc>
          <w:tcPr>
            <w:tcW w:w="2400" w:type="dxa"/>
          </w:tcPr>
          <w:p>
            <w:r>
              <w:rPr>
                <w:b/>
              </w:rPr>
              <w:t>位置</w:t>
            </w:r>
          </w:p>
        </w:tc>
        <w:tc>
          <w:tcPr>
            <w:tcW w:w="2400" w:type="dxa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w="2400" w:type="dxa"/>
          </w:tcPr>
          <w:p>
            <w:r>
              <w:t>量化成果看板</w:t>
            </w:r>
          </w:p>
        </w:tc>
        <w:tc>
          <w:tcPr>
            <w:tcW w:w="2400" w:type="dxa"/>
          </w:tcPr>
          <w:p>
            <w:r>
              <w:t>site/index.html</w:t>
            </w:r>
          </w:p>
        </w:tc>
        <w:tc>
          <w:tcPr>
            <w:tcW w:w="2400" w:type="dxa"/>
          </w:tcPr>
          <w:p>
            <w:r>
              <w:t>展示策略 A-P 指标、模型消耗、因子说明和 377 个策略 Python 文件代码摘录。</w:t>
            </w:r>
          </w:p>
        </w:tc>
      </w:tr>
      <w:tr>
        <w:tc>
          <w:tcPr>
            <w:tcW w:w="2400" w:type="dxa"/>
          </w:tcPr>
          <w:p>
            <w:r>
              <w:t>量化知识库整站</w:t>
            </w:r>
          </w:p>
        </w:tc>
        <w:tc>
          <w:tcPr>
            <w:tcW w:w="2400" w:type="dxa"/>
          </w:tcPr>
          <w:p>
            <w:r>
              <w:t>site/quant-knowledge/index.html</w:t>
            </w:r>
          </w:p>
        </w:tc>
        <w:tc>
          <w:tcPr>
            <w:tcW w:w="2400" w:type="dxa"/>
          </w:tcPr>
          <w:p>
            <w:r>
              <w:t>打包 397 个静态网站文件，约 42MB，覆盖策略、风险、数据、回测、执行、市场和进阶专题。</w:t>
            </w:r>
          </w:p>
        </w:tc>
      </w:tr>
      <w:tr>
        <w:tc>
          <w:tcPr>
            <w:tcW w:w="2400" w:type="dxa"/>
          </w:tcPr>
          <w:p>
            <w:r>
              <w:t>阶段报告</w:t>
            </w:r>
          </w:p>
        </w:tc>
        <w:tc>
          <w:tcPr>
            <w:tcW w:w="2400" w:type="dxa"/>
          </w:tcPr>
          <w:p>
            <w:r>
              <w:t>reports/</w:t>
            </w:r>
          </w:p>
        </w:tc>
        <w:tc>
          <w:tcPr>
            <w:tcW w:w="2400" w:type="dxa"/>
          </w:tcPr>
          <w:p>
            <w:r>
              <w:t>三期阶段报告保留在独立目录，模板仍在 plan/ 目录。</w:t>
            </w:r>
          </w:p>
        </w:tc>
      </w:tr>
    </w:tbl>
    <w:p>
      <w:pPr>
        <w:spacing w:after="140" w:line="360"/>
        <w:jc w:val="both"/>
      </w:pPr>
      <w:r>
        <w:t>第三期按“峰值消耗、集中收敛、持续运营”三段处理。需要特别说明：目前所有项目仍是研究或演示系统状态，算力主要消耗在模型实验、回测、纸面验证、推理服务和演示系统稳定性上，不应表述为正式生产收益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3A · 峰值期(8/31 - 10/25,56 天,36 台):集中跑重型研究，包括量化多路线候选的稳健性重跑、元标签/时序模型、微观结构 RL 原型、套利回放和生图自训练模型推理验证。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3B · 收敛期(10/26 - 11/18,24 天,27 台):停止新增研究方向，改为筛选、归档、补充证据、修演示系统失败路径和整理成本台账。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3C · 运营期(11/19 - 1/31,74 天,16 台):保留少量算力维持纸面研究、演示服务、回归测试和文档归档，形成下一轮是否继续采购算力的依据。</w:t>
      </w:r>
    </w:p>
    <w:p>
      <w:pPr>
        <w:spacing w:after="140" w:line="360"/>
        <w:jc w:val="both"/>
      </w:pPr>
      <w:r>
        <w:t>一句话总结:第三期结束时，量化侧形成一批可复查的研究资产、失败清单和纸面门禁框架；生图侧形成自训练模型 OpenAI 兼容服务、演示站、成本治理和验收矩阵。二者都属于研究/演示系统交付，不承诺实盘或商业收益。</w:t>
      </w:r>
    </w:p>
    <w:p>
      <w:pPr>
        <w:pStyle w:val="Heading1"/>
        <w:spacing w:after="180" w:before="360"/>
      </w:pPr>
      <w:r>
        <w:t>二、子阶段 3A · 峰值期(36 台,56 天)</w:t>
      </w:r>
    </w:p>
    <w:p>
      <w:pPr>
        <w:pStyle w:val="Heading2"/>
        <w:spacing w:after="120" w:before="260"/>
      </w:pPr>
      <w:r>
        <w:t>2.1 算力分配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5326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用途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台数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稳健性重跑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14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候选策略/模型跨样本、成本、滑点和市场状态重跑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模型与微观结构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5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元标签/时序模型 · L2 仿真 · RL/执行原型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纸面与归因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纸面分组验证门禁 · 交易形态/交易时段归因 · 失败分支归档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 自训练模型推理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9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OpenAI 兼容接口 · 真实模型服务通道 验收 · 参考图/多图任务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 视频/扩展能力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条件预研，若成本或稳定性不达标则回流到图片链路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·演示系统完整版本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公网演示系统· 管理后台 · 历史/下载/失败重试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36 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峰值期按研究/演示系统高峰消耗统计</w:t>
            </w:r>
          </w:p>
        </w:tc>
      </w:tr>
    </w:tbl>
    <w:p>
      <w:pPr>
        <w:pStyle w:val="Heading2"/>
        <w:spacing w:after="120" w:before="260"/>
      </w:pPr>
      <w:r>
        <w:t>2.2 量化峰值期任务</w:t>
      </w:r>
    </w:p>
    <w:p>
      <w:r>
        <w:rPr>
          <w:b/>
        </w:rPr>
        <w:t>最终策略与模型资产</w:t>
      </w:r>
    </w:p>
    <w:p>
      <w:r>
        <w:t>最终保留的量化资产分三层：第一层是策略 A-P 的统一评分表，用来说明哪些方向值得继续复核；第二层是模型与因子资产，用来解释机器学习为什么消耗大量算力；第三层是代码与知识库归档，用来让接手人能看见真实实现和研究依据。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编号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类型说明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状态</w:t>
            </w:r>
          </w:p>
        </w:tc>
        <w:tc>
          <w:tcPr>
            <w:tcW w:w="2400" w:type="dxa"/>
          </w:tcPr>
          <w:p>
            <w:r>
              <w:rPr>
                <w:b/>
              </w:rPr>
              <w:t>年化收益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最大回撤</w:t>
            </w:r>
          </w:p>
        </w:tc>
        <w:tc>
          <w:tcPr>
            <w:tcW w:w="2400" w:type="dxa"/>
          </w:tcPr>
          <w:p>
            <w:r>
              <w:rPr>
                <w:b/>
              </w:rPr>
              <w:t>PF</w:t>
            </w:r>
          </w:p>
        </w:tc>
        <w:tc>
          <w:tcPr>
            <w:tcW w:w="2400" w:type="dxa"/>
          </w:tcPr>
          <w:p>
            <w:r>
              <w:rPr>
                <w:b/>
              </w:rPr>
              <w:t>Q 分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普通说明</w:t>
            </w:r>
          </w:p>
        </w:tc>
      </w:tr>
      <w:tr>
        <w:tc>
          <w:tcPr>
            <w:tcW w:w="2400" w:type="dxa"/>
          </w:tcPr>
          <w:p>
            <w:r>
              <w:t>策略A</w:t>
            </w:r>
          </w:p>
        </w:tc>
        <w:tc>
          <w:tcPr>
            <w:tcW w:w="2400" w:type="dxa"/>
          </w:tcPr>
          <w:p>
            <w:r>
              <w:t>趋势延续与中期动量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38.7%</w:t>
            </w:r>
          </w:p>
        </w:tc>
        <w:tc>
          <w:tcPr>
            <w:tcW w:w="2400" w:type="dxa"/>
          </w:tcPr>
          <w:p>
            <w:r>
              <w:t>7.0%</w:t>
            </w:r>
          </w:p>
        </w:tc>
        <w:tc>
          <w:tcPr>
            <w:tcW w:w="2400" w:type="dxa"/>
          </w:tcPr>
          <w:p>
            <w:r>
              <w:t>2.00</w:t>
            </w:r>
          </w:p>
        </w:tc>
        <w:tc>
          <w:tcPr>
            <w:tcW w:w="2400" w:type="dxa"/>
          </w:tcPr>
          <w:p>
            <w:r>
              <w:t>7.81</w:t>
            </w:r>
          </w:p>
        </w:tc>
        <w:tc>
          <w:tcPr>
            <w:tcW w:w="2400" w:type="dxa"/>
          </w:tcPr>
          <w:p>
            <w:r>
              <w:t>收益/回撤比突出，适合作为组合里的进攻腿。</w:t>
            </w:r>
          </w:p>
        </w:tc>
      </w:tr>
      <w:tr>
        <w:tc>
          <w:tcPr>
            <w:tcW w:w="2400" w:type="dxa"/>
          </w:tcPr>
          <w:p>
            <w:r>
              <w:t>策略B</w:t>
            </w:r>
          </w:p>
        </w:tc>
        <w:tc>
          <w:tcPr>
            <w:tcW w:w="2400" w:type="dxa"/>
          </w:tcPr>
          <w:p>
            <w:r>
              <w:t>低波动状态识别与仓位切换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19.1%</w:t>
            </w:r>
          </w:p>
        </w:tc>
        <w:tc>
          <w:tcPr>
            <w:tcW w:w="2400" w:type="dxa"/>
          </w:tcPr>
          <w:p>
            <w:r>
              <w:t>3.3%</w:t>
            </w:r>
          </w:p>
        </w:tc>
        <w:tc>
          <w:tcPr>
            <w:tcW w:w="2400" w:type="dxa"/>
          </w:tcPr>
          <w:p>
            <w:r>
              <w:t>3.30</w:t>
            </w:r>
          </w:p>
        </w:tc>
        <w:tc>
          <w:tcPr>
            <w:tcW w:w="2400" w:type="dxa"/>
          </w:tcPr>
          <w:p>
            <w:r>
              <w:t>10.56</w:t>
            </w:r>
          </w:p>
        </w:tc>
        <w:tc>
          <w:tcPr>
            <w:tcW w:w="2400" w:type="dxa"/>
          </w:tcPr>
          <w:p>
            <w:r>
              <w:t>回撤低、PF 高，适合承担稳定性角色。</w:t>
            </w:r>
          </w:p>
        </w:tc>
      </w:tr>
      <w:tr>
        <w:tc>
          <w:tcPr>
            <w:tcW w:w="2400" w:type="dxa"/>
          </w:tcPr>
          <w:p>
            <w:r>
              <w:t>策略C</w:t>
            </w:r>
          </w:p>
        </w:tc>
        <w:tc>
          <w:tcPr>
            <w:tcW w:w="2400" w:type="dxa"/>
          </w:tcPr>
          <w:p>
            <w:r>
              <w:t>波动收缩后的突破确认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18.8%</w:t>
            </w:r>
          </w:p>
        </w:tc>
        <w:tc>
          <w:tcPr>
            <w:tcW w:w="2400" w:type="dxa"/>
          </w:tcPr>
          <w:p>
            <w:r>
              <w:t>2.8%</w:t>
            </w:r>
          </w:p>
        </w:tc>
        <w:tc>
          <w:tcPr>
            <w:tcW w:w="2400" w:type="dxa"/>
          </w:tcPr>
          <w:p>
            <w:r>
              <w:t>2.78</w:t>
            </w:r>
          </w:p>
        </w:tc>
        <w:tc>
          <w:tcPr>
            <w:tcW w:w="2400" w:type="dxa"/>
          </w:tcPr>
          <w:p>
            <w:r>
              <w:t>11.31</w:t>
            </w:r>
          </w:p>
        </w:tc>
        <w:tc>
          <w:tcPr>
            <w:tcW w:w="2400" w:type="dxa"/>
          </w:tcPr>
          <w:p>
            <w:r>
              <w:t>最大回撤最低，质量分最高，适合作为防守型候选。</w:t>
            </w:r>
          </w:p>
        </w:tc>
      </w:tr>
      <w:tr>
        <w:tc>
          <w:tcPr>
            <w:tcW w:w="2400" w:type="dxa"/>
          </w:tcPr>
          <w:p>
            <w:r>
              <w:t>策略D</w:t>
            </w:r>
          </w:p>
        </w:tc>
        <w:tc>
          <w:tcPr>
            <w:tcW w:w="2400" w:type="dxa"/>
          </w:tcPr>
          <w:p>
            <w:r>
              <w:t>宏观/市场状态过滤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15.0%</w:t>
            </w:r>
          </w:p>
        </w:tc>
        <w:tc>
          <w:tcPr>
            <w:tcW w:w="2400" w:type="dxa"/>
          </w:tcPr>
          <w:p>
            <w:r>
              <w:t>5.4%</w:t>
            </w:r>
          </w:p>
        </w:tc>
        <w:tc>
          <w:tcPr>
            <w:tcW w:w="2400" w:type="dxa"/>
          </w:tcPr>
          <w:p>
            <w:r>
              <w:t>2.07</w:t>
            </w:r>
          </w:p>
        </w:tc>
        <w:tc>
          <w:tcPr>
            <w:tcW w:w="2400" w:type="dxa"/>
          </w:tcPr>
          <w:p>
            <w:r>
              <w:t>4.03</w:t>
            </w:r>
          </w:p>
        </w:tc>
        <w:tc>
          <w:tcPr>
            <w:tcW w:w="2400" w:type="dxa"/>
          </w:tcPr>
          <w:p>
            <w:r>
              <w:t>收益不激进，但稳定性好，可作为组合过滤器。</w:t>
            </w:r>
          </w:p>
        </w:tc>
      </w:tr>
      <w:tr>
        <w:tc>
          <w:tcPr>
            <w:tcW w:w="2400" w:type="dxa"/>
          </w:tcPr>
          <w:p>
            <w:r>
              <w:t>策略E</w:t>
            </w:r>
          </w:p>
        </w:tc>
        <w:tc>
          <w:tcPr>
            <w:tcW w:w="2400" w:type="dxa"/>
          </w:tcPr>
          <w:p>
            <w:r>
              <w:t>多信号组合确认</w:t>
            </w:r>
          </w:p>
        </w:tc>
        <w:tc>
          <w:tcPr>
            <w:tcW w:w="2400" w:type="dxa"/>
          </w:tcPr>
          <w:p>
            <w:r>
              <w:t>可用主线</w:t>
            </w:r>
          </w:p>
        </w:tc>
        <w:tc>
          <w:tcPr>
            <w:tcW w:w="2400" w:type="dxa"/>
          </w:tcPr>
          <w:p>
            <w:r>
              <w:t>27.6%</w:t>
            </w:r>
          </w:p>
        </w:tc>
        <w:tc>
          <w:tcPr>
            <w:tcW w:w="2400" w:type="dxa"/>
          </w:tcPr>
          <w:p>
            <w:r>
              <w:t>11.0%</w:t>
            </w:r>
          </w:p>
        </w:tc>
        <w:tc>
          <w:tcPr>
            <w:tcW w:w="2400" w:type="dxa"/>
          </w:tcPr>
          <w:p>
            <w:r>
              <w:t>1.38</w:t>
            </w:r>
          </w:p>
        </w:tc>
        <w:tc>
          <w:tcPr>
            <w:tcW w:w="2400" w:type="dxa"/>
          </w:tcPr>
          <w:p>
            <w:r>
              <w:t>2.95</w:t>
            </w:r>
          </w:p>
        </w:tc>
        <w:tc>
          <w:tcPr>
            <w:tcW w:w="2400" w:type="dxa"/>
          </w:tcPr>
          <w:p>
            <w:r>
              <w:t>收益较高，回撤可控，需继续看组合相关性。</w:t>
            </w:r>
          </w:p>
        </w:tc>
      </w:tr>
      <w:tr>
        <w:tc>
          <w:tcPr>
            <w:tcW w:w="2400" w:type="dxa"/>
          </w:tcPr>
          <w:p>
            <w:r>
              <w:t>策略F</w:t>
            </w:r>
          </w:p>
        </w:tc>
        <w:tc>
          <w:tcPr>
            <w:tcW w:w="2400" w:type="dxa"/>
          </w:tcPr>
          <w:p>
            <w:r>
              <w:t>价格结构与订单流确认</w:t>
            </w:r>
          </w:p>
        </w:tc>
        <w:tc>
          <w:tcPr>
            <w:tcW w:w="2400" w:type="dxa"/>
          </w:tcPr>
          <w:p>
            <w:r>
              <w:t>可用主线</w:t>
            </w:r>
          </w:p>
        </w:tc>
        <w:tc>
          <w:tcPr>
            <w:tcW w:w="2400" w:type="dxa"/>
          </w:tcPr>
          <w:p>
            <w:r>
              <w:t>20.2%</w:t>
            </w:r>
          </w:p>
        </w:tc>
        <w:tc>
          <w:tcPr>
            <w:tcW w:w="2400" w:type="dxa"/>
          </w:tcPr>
          <w:p>
            <w:r>
              <w:t>7.5%</w:t>
            </w:r>
          </w:p>
        </w:tc>
        <w:tc>
          <w:tcPr>
            <w:tcW w:w="2400" w:type="dxa"/>
          </w:tcPr>
          <w:p>
            <w:r>
              <w:t>1.68</w:t>
            </w:r>
          </w:p>
        </w:tc>
        <w:tc>
          <w:tcPr>
            <w:tcW w:w="2400" w:type="dxa"/>
          </w:tcPr>
          <w:p>
            <w:r>
              <w:t>3.51</w:t>
            </w:r>
          </w:p>
        </w:tc>
        <w:tc>
          <w:tcPr>
            <w:tcW w:w="2400" w:type="dxa"/>
          </w:tcPr>
          <w:p>
            <w:r>
              <w:t>质量分进入可用区间，后续重点看交易拥挤度。</w:t>
            </w:r>
          </w:p>
        </w:tc>
      </w:tr>
      <w:tr>
        <w:tc>
          <w:tcPr>
            <w:tcW w:w="2400" w:type="dxa"/>
          </w:tcPr>
          <w:p>
            <w:r>
              <w:t>策略G</w:t>
            </w:r>
          </w:p>
        </w:tc>
        <w:tc>
          <w:tcPr>
            <w:tcW w:w="2400" w:type="dxa"/>
          </w:tcPr>
          <w:p>
            <w:r>
              <w:t>短中期动量跟随</w:t>
            </w:r>
          </w:p>
        </w:tc>
        <w:tc>
          <w:tcPr>
            <w:tcW w:w="2400" w:type="dxa"/>
          </w:tcPr>
          <w:p>
            <w:r>
              <w:t>可用主线</w:t>
            </w:r>
          </w:p>
        </w:tc>
        <w:tc>
          <w:tcPr>
            <w:tcW w:w="2400" w:type="dxa"/>
          </w:tcPr>
          <w:p>
            <w:r>
              <w:t>29.8%</w:t>
            </w:r>
          </w:p>
        </w:tc>
        <w:tc>
          <w:tcPr>
            <w:tcW w:w="2400" w:type="dxa"/>
          </w:tcPr>
          <w:p>
            <w:r>
              <w:t>16.1%</w:t>
            </w:r>
          </w:p>
        </w:tc>
        <w:tc>
          <w:tcPr>
            <w:tcW w:w="2400" w:type="dxa"/>
          </w:tcPr>
          <w:p>
            <w:r>
              <w:t>1.36</w:t>
            </w:r>
          </w:p>
        </w:tc>
        <w:tc>
          <w:tcPr>
            <w:tcW w:w="2400" w:type="dxa"/>
          </w:tcPr>
          <w:p>
            <w:r>
              <w:t>2.15</w:t>
            </w:r>
          </w:p>
        </w:tc>
        <w:tc>
          <w:tcPr>
            <w:tcW w:w="2400" w:type="dxa"/>
          </w:tcPr>
          <w:p>
            <w:r>
              <w:t>收益高但回撤也高，需要仓位和止损进一步约束。</w:t>
            </w:r>
          </w:p>
        </w:tc>
      </w:tr>
      <w:tr>
        <w:tc>
          <w:tcPr>
            <w:tcW w:w="2400" w:type="dxa"/>
          </w:tcPr>
          <w:p>
            <w:r>
              <w:t>策略H</w:t>
            </w:r>
          </w:p>
        </w:tc>
        <w:tc>
          <w:tcPr>
            <w:tcW w:w="2400" w:type="dxa"/>
          </w:tcPr>
          <w:p>
            <w:r>
              <w:t>流动性变化与修复信号</w:t>
            </w:r>
          </w:p>
        </w:tc>
        <w:tc>
          <w:tcPr>
            <w:tcW w:w="2400" w:type="dxa"/>
          </w:tcPr>
          <w:p>
            <w:r>
              <w:t>观察/待修复</w:t>
            </w:r>
          </w:p>
        </w:tc>
        <w:tc>
          <w:tcPr>
            <w:tcW w:w="2400" w:type="dxa"/>
          </w:tcPr>
          <w:p>
            <w:r>
              <w:t>9.9%</w:t>
            </w:r>
          </w:p>
        </w:tc>
        <w:tc>
          <w:tcPr>
            <w:tcW w:w="2400" w:type="dxa"/>
          </w:tcPr>
          <w:p>
            <w:r>
              <w:t>9.5%</w:t>
            </w:r>
          </w:p>
        </w:tc>
        <w:tc>
          <w:tcPr>
            <w:tcW w:w="2400" w:type="dxa"/>
          </w:tcPr>
          <w:p>
            <w:r>
              <w:t>1.22</w:t>
            </w:r>
          </w:p>
        </w:tc>
        <w:tc>
          <w:tcPr>
            <w:tcW w:w="2400" w:type="dxa"/>
          </w:tcPr>
          <w:p>
            <w:r>
              <w:t>1.16</w:t>
            </w:r>
          </w:p>
        </w:tc>
        <w:tc>
          <w:tcPr>
            <w:tcW w:w="2400" w:type="dxa"/>
          </w:tcPr>
          <w:p>
            <w:r>
              <w:t>收益为正但优势不厚，适合作为观察线。</w:t>
            </w:r>
          </w:p>
        </w:tc>
      </w:tr>
      <w:tr>
        <w:tc>
          <w:tcPr>
            <w:tcW w:w="2400" w:type="dxa"/>
          </w:tcPr>
          <w:p>
            <w:r>
              <w:t>策略I</w:t>
            </w:r>
          </w:p>
        </w:tc>
        <w:tc>
          <w:tcPr>
            <w:tcW w:w="2400" w:type="dxa"/>
          </w:tcPr>
          <w:p>
            <w:r>
              <w:t>回撤后反弹确认</w:t>
            </w:r>
          </w:p>
        </w:tc>
        <w:tc>
          <w:tcPr>
            <w:tcW w:w="2400" w:type="dxa"/>
          </w:tcPr>
          <w:p>
            <w:r>
              <w:t>观察/待修复</w:t>
            </w:r>
          </w:p>
        </w:tc>
        <w:tc>
          <w:tcPr>
            <w:tcW w:w="2400" w:type="dxa"/>
          </w:tcPr>
          <w:p>
            <w:r>
              <w:t>7.4%</w:t>
            </w:r>
          </w:p>
        </w:tc>
        <w:tc>
          <w:tcPr>
            <w:tcW w:w="2400" w:type="dxa"/>
          </w:tcPr>
          <w:p>
            <w:r>
              <w:t>7.7%</w:t>
            </w:r>
          </w:p>
        </w:tc>
        <w:tc>
          <w:tcPr>
            <w:tcW w:w="2400" w:type="dxa"/>
          </w:tcPr>
          <w:p>
            <w:r>
              <w:t>1.23</w:t>
            </w:r>
          </w:p>
        </w:tc>
        <w:tc>
          <w:tcPr>
            <w:tcW w:w="2400" w:type="dxa"/>
          </w:tcPr>
          <w:p>
            <w:r>
              <w:t>1.06</w:t>
            </w:r>
          </w:p>
        </w:tc>
        <w:tc>
          <w:tcPr>
            <w:tcW w:w="2400" w:type="dxa"/>
          </w:tcPr>
          <w:p>
            <w:r>
              <w:t>样本外仍为正，但需要过滤低质量交易。</w:t>
            </w:r>
          </w:p>
        </w:tc>
      </w:tr>
    </w:tbl>
    <w:p>
      <w:r>
        <w:t>完整策略 A-P 指标和代码摘录已放入 site/index.html。文档中仅列出核心、可用和观察策略，关闭/冻结分支保留在看板中，便于解释停止投入的原因。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模型/实验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样本规模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折外指标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结论</w:t>
            </w:r>
          </w:p>
        </w:tc>
      </w:tr>
      <w:tr>
        <w:tc>
          <w:tcPr>
            <w:tcW w:w="2400" w:type="dxa"/>
          </w:tcPr>
          <w:p>
            <w:r>
              <w:t>LSTM 表征 + 树模型</w:t>
            </w:r>
          </w:p>
        </w:tc>
        <w:tc>
          <w:tcPr>
            <w:tcW w:w="2400" w:type="dxa"/>
          </w:tcPr>
          <w:p>
            <w:r>
              <w:t>428,345 条序列，30 epoch</w:t>
            </w:r>
          </w:p>
        </w:tc>
        <w:tc>
          <w:tcPr>
            <w:tcW w:w="2400" w:type="dxa"/>
          </w:tcPr>
          <w:p>
            <w:r>
              <w:t>折外 AUC 0.7465</w:t>
            </w:r>
          </w:p>
        </w:tc>
        <w:tc>
          <w:tcPr>
            <w:tcW w:w="2400" w:type="dxa"/>
          </w:tcPr>
          <w:p>
            <w:r>
              <w:t>当前最有解释价值的机器学习分支。</w:t>
            </w:r>
          </w:p>
        </w:tc>
      </w:tr>
      <w:tr>
        <w:tc>
          <w:tcPr>
            <w:tcW w:w="2400" w:type="dxa"/>
          </w:tcPr>
          <w:p>
            <w:r>
              <w:t>15 分钟预测缓存</w:t>
            </w:r>
          </w:p>
        </w:tc>
        <w:tc>
          <w:tcPr>
            <w:tcW w:w="2400" w:type="dxa"/>
          </w:tcPr>
          <w:p>
            <w:r>
              <w:t>27,314 个信号事件，21,850 行缓存</w:t>
            </w:r>
          </w:p>
        </w:tc>
        <w:tc>
          <w:tcPr>
            <w:tcW w:w="2400" w:type="dxa"/>
          </w:tcPr>
          <w:p>
            <w:r>
              <w:t>折外 AUC 0.6998</w:t>
            </w:r>
          </w:p>
        </w:tc>
        <w:tc>
          <w:tcPr>
            <w:tcW w:w="2400" w:type="dxa"/>
          </w:tcPr>
          <w:p>
            <w:r>
              <w:t>可作为元标签和过滤器继续观察。</w:t>
            </w:r>
          </w:p>
        </w:tc>
      </w:tr>
      <w:tr>
        <w:tc>
          <w:tcPr>
            <w:tcW w:w="2400" w:type="dxa"/>
          </w:tcPr>
          <w:p>
            <w:r>
              <w:t>4 小时元标签</w:t>
            </w:r>
          </w:p>
        </w:tc>
        <w:tc>
          <w:tcPr>
            <w:tcW w:w="2400" w:type="dxa"/>
          </w:tcPr>
          <w:p>
            <w:r>
              <w:t>2,826 个信号事件</w:t>
            </w:r>
          </w:p>
        </w:tc>
        <w:tc>
          <w:tcPr>
            <w:tcW w:w="2400" w:type="dxa"/>
          </w:tcPr>
          <w:p>
            <w:r>
              <w:t>折外 AUC 0.6852</w:t>
            </w:r>
          </w:p>
        </w:tc>
        <w:tc>
          <w:tcPr>
            <w:tcW w:w="2400" w:type="dxa"/>
          </w:tcPr>
          <w:p>
            <w:r>
              <w:t>样本较少但信号质量可继续复核。</w:t>
            </w:r>
          </w:p>
        </w:tc>
      </w:tr>
      <w:tr>
        <w:tc>
          <w:tcPr>
            <w:tcW w:w="2400" w:type="dxa"/>
          </w:tcPr>
          <w:p>
            <w:r>
              <w:t>15 分钟元标签树模型</w:t>
            </w:r>
          </w:p>
        </w:tc>
        <w:tc>
          <w:tcPr>
            <w:tcW w:w="2400" w:type="dxa"/>
          </w:tcPr>
          <w:p>
            <w:r>
              <w:t>28,215 个事件，22 个特征</w:t>
            </w:r>
          </w:p>
        </w:tc>
        <w:tc>
          <w:tcPr>
            <w:tcW w:w="2400" w:type="dxa"/>
          </w:tcPr>
          <w:p>
            <w:r>
              <w:t>折外 AUC 0.6830</w:t>
            </w:r>
          </w:p>
        </w:tc>
        <w:tc>
          <w:tcPr>
            <w:tcW w:w="2400" w:type="dxa"/>
          </w:tcPr>
          <w:p>
            <w:r>
              <w:t>特征解释性较好，适合做门控。</w:t>
            </w:r>
          </w:p>
        </w:tc>
      </w:tr>
      <w:tr>
        <w:tc>
          <w:tcPr>
            <w:tcW w:w="2400" w:type="dxa"/>
          </w:tcPr>
          <w:p>
            <w:r>
              <w:t>15 分钟 FastCNN</w:t>
            </w:r>
          </w:p>
        </w:tc>
        <w:tc>
          <w:tcPr>
            <w:tcW w:w="2400" w:type="dxa"/>
          </w:tcPr>
          <w:p>
            <w:r>
              <w:t>474,865 个样本，80 epoch</w:t>
            </w:r>
          </w:p>
        </w:tc>
        <w:tc>
          <w:tcPr>
            <w:tcW w:w="2400" w:type="dxa"/>
          </w:tcPr>
          <w:p>
            <w:r>
              <w:t>折外 AUC 0.6717</w:t>
            </w:r>
          </w:p>
        </w:tc>
        <w:tc>
          <w:tcPr>
            <w:tcW w:w="2400" w:type="dxa"/>
          </w:tcPr>
          <w:p>
            <w:r>
              <w:t>消耗样本量大，指标进入观察区间。</w:t>
            </w:r>
          </w:p>
        </w:tc>
      </w:tr>
      <w:tr>
        <w:tc>
          <w:tcPr>
            <w:tcW w:w="2400" w:type="dxa"/>
          </w:tcPr>
          <w:p>
            <w:r>
              <w:t>1 小时元标签变体</w:t>
            </w:r>
          </w:p>
        </w:tc>
        <w:tc>
          <w:tcPr>
            <w:tcW w:w="2400" w:type="dxa"/>
          </w:tcPr>
          <w:p>
            <w:r>
              <w:t>7,695 个事件，7-9 个特征</w:t>
            </w:r>
          </w:p>
        </w:tc>
        <w:tc>
          <w:tcPr>
            <w:tcW w:w="2400" w:type="dxa"/>
          </w:tcPr>
          <w:p>
            <w:r>
              <w:t>最高折外 AUC 0.6335</w:t>
            </w:r>
          </w:p>
        </w:tc>
        <w:tc>
          <w:tcPr>
            <w:tcW w:w="2400" w:type="dxa"/>
          </w:tcPr>
          <w:p>
            <w:r>
              <w:t>能提供辅助信号，但不单独作为收益依据。</w:t>
            </w:r>
          </w:p>
        </w:tc>
      </w:tr>
      <w:tr>
        <w:tc>
          <w:tcPr>
            <w:tcW w:w="2400" w:type="dxa"/>
          </w:tcPr>
          <w:p>
            <w:r>
              <w:t>三重障碍标签</w:t>
            </w:r>
          </w:p>
        </w:tc>
        <w:tc>
          <w:tcPr>
            <w:tcW w:w="2400" w:type="dxa"/>
          </w:tcPr>
          <w:p>
            <w:r>
              <w:t>14 个交易对，14 个特征</w:t>
            </w:r>
          </w:p>
        </w:tc>
        <w:tc>
          <w:tcPr>
            <w:tcW w:w="2400" w:type="dxa"/>
          </w:tcPr>
          <w:p>
            <w:r>
              <w:t>准确率 0.4464，低于随机基线 0.4542</w:t>
            </w:r>
          </w:p>
        </w:tc>
        <w:tc>
          <w:tcPr>
            <w:tcW w:w="2400" w:type="dxa"/>
          </w:tcPr>
          <w:p>
            <w:r>
              <w:t>作为停止继续投入的负面证据。</w:t>
            </w:r>
          </w:p>
        </w:tc>
      </w:tr>
    </w:tbl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量化多路线稳健性重跑。对第二期留下的候选方向做统一重跑，覆盖不同市场状态、成本假设、样本窗口和纸面/回放证据，优先剔除样本外衰减严重的分支。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元标签与时序模型补充。继续验证树模型元标签、轻量 CNN/LSTM、表征学习、三重障碍标签等方向；指标好的分支进入观察，指标不稳的分支归档为研究消耗。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微观结构与执行原型。围绕 L2 orderbook、tick trades、Gym 类仿真、PPO/执行环境和撮合/滑点模型做原型验证，目标是沉淀数据契约和仿真能力，不直接上线。</w:t>
      </w:r>
    </w:p>
    <w:p>
      <w:pPr>
        <w:pStyle w:val="Heading2"/>
        <w:spacing w:after="120" w:before="260"/>
      </w:pPr>
      <w:r>
        <w:t>2.3 生图峰值期任务</w:t>
      </w:r>
    </w:p>
    <w:p>
      <w:r>
        <w:rPr>
          <w:b/>
        </w:rPr>
        <w:t>生图最终功能与训练接入说明</w:t>
      </w:r>
    </w:p>
    <w:p>
      <w:r>
        <w:t>生图侧最终形成的是一个研究/演示状态的完整链路：自训练模型经 OpenAI 兼容接口提供生成和编辑能力，演示站负责模板、自由提示词、参考图、多图故事、额度账本、历史下载和管理配置。公网地址为 https://fancy-image.duckdns.org。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能力模块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最终状态</w:t>
            </w:r>
          </w:p>
        </w:tc>
        <w:tc>
          <w:tcPr>
            <w:tcW w:w="2400" w:type="dxa"/>
          </w:tcPr>
          <w:p>
            <w:r>
              <w:rPr>
                <w:b/>
              </w:rPr>
              <w:t>验收说明</w:t>
            </w:r>
          </w:p>
        </w:tc>
      </w:tr>
      <w:tr>
        <w:tc>
          <w:tcPr>
            <w:tcW w:w="2400" w:type="dxa"/>
          </w:tcPr>
          <w:p>
            <w:r>
              <w:t>模板与自由提示词</w:t>
            </w:r>
          </w:p>
        </w:tc>
        <w:tc>
          <w:tcPr>
            <w:tcW w:w="2400" w:type="dxa"/>
          </w:tcPr>
          <w:p>
            <w:r>
              <w:t>已支持模板变量、自由提示词、生成历史和结果下载；模板库归档 5,608 条。</w:t>
            </w:r>
          </w:p>
        </w:tc>
        <w:tc>
          <w:tcPr>
            <w:tcW w:w="2400" w:type="dxa"/>
          </w:tcPr>
          <w:p>
            <w:r>
              <w:t>主要消耗在自训练模型推理、模板批量验证和前端链路验收。</w:t>
            </w:r>
          </w:p>
        </w:tc>
      </w:tr>
      <w:tr>
        <w:tc>
          <w:tcPr>
            <w:tcW w:w="2400" w:type="dxa"/>
          </w:tcPr>
          <w:p>
            <w:r>
              <w:t>参考图与编辑</w:t>
            </w:r>
          </w:p>
        </w:tc>
        <w:tc>
          <w:tcPr>
            <w:tcW w:w="2400" w:type="dxa"/>
          </w:tcPr>
          <w:p>
            <w:r>
              <w:t>通过 OpenAI 兼容 edits 路径接入参考图；能力分 supported/unsupported/unknown 三态。</w:t>
            </w:r>
          </w:p>
        </w:tc>
        <w:tc>
          <w:tcPr>
            <w:tcW w:w="2400" w:type="dxa"/>
          </w:tcPr>
          <w:p>
            <w:r>
              <w:t>unknown 不发送付费参考图任务，避免无效算力消耗。</w:t>
            </w:r>
          </w:p>
        </w:tc>
      </w:tr>
      <w:tr>
        <w:tc>
          <w:tcPr>
            <w:tcW w:w="2400" w:type="dxa"/>
          </w:tcPr>
          <w:p>
            <w:r>
              <w:t>多图与故事任务</w:t>
            </w:r>
          </w:p>
        </w:tc>
        <w:tc>
          <w:tcPr>
            <w:tcW w:w="2400" w:type="dxa"/>
          </w:tcPr>
          <w:p>
            <w:r>
              <w:t>支持多图顺序执行、前序失败阻断和上一张成功图作为连续性参考。</w:t>
            </w:r>
          </w:p>
        </w:tc>
        <w:tc>
          <w:tcPr>
            <w:tcW w:w="2400" w:type="dxa"/>
          </w:tcPr>
          <w:p>
            <w:r>
              <w:t>牺牲部分并发，换取可追账和画面一致性。</w:t>
            </w:r>
          </w:p>
        </w:tc>
      </w:tr>
      <w:tr>
        <w:tc>
          <w:tcPr>
            <w:tcW w:w="2400" w:type="dxa"/>
          </w:tcPr>
          <w:p>
            <w:r>
              <w:t>成本与额度治理</w:t>
            </w:r>
          </w:p>
        </w:tc>
        <w:tc>
          <w:tcPr>
            <w:tcW w:w="2400" w:type="dxa"/>
          </w:tcPr>
          <w:p>
            <w:r>
              <w:t>生成前估价、预扣额度；失败、超时或结果不确定时记录审计并退款或转可重试。</w:t>
            </w:r>
          </w:p>
        </w:tc>
        <w:tc>
          <w:tcPr>
            <w:tcW w:w="2400" w:type="dxa"/>
          </w:tcPr>
          <w:p>
            <w:r>
              <w:t>把每次模型调用和额度变化都留在账本中。</w:t>
            </w:r>
          </w:p>
        </w:tc>
      </w:tr>
      <w:tr>
        <w:tc>
          <w:tcPr>
            <w:tcW w:w="2400" w:type="dxa"/>
          </w:tcPr>
          <w:p>
            <w:r>
              <w:t>公网演示站</w:t>
            </w:r>
          </w:p>
        </w:tc>
        <w:tc>
          <w:tcPr>
            <w:tcW w:w="2400" w:type="dxa"/>
          </w:tcPr>
          <w:p>
            <w:r>
              <w:t>演示地址为 https://fancy-image.duckdns.org，核心页面、生成、历史、下载和管理配置可演示。</w:t>
            </w:r>
          </w:p>
        </w:tc>
        <w:tc>
          <w:tcPr>
            <w:tcW w:w="2400" w:type="dxa"/>
          </w:tcPr>
          <w:p>
            <w:r>
              <w:t>当前定位为内部演示与研究验收，不承诺外部 SLA。</w:t>
            </w:r>
          </w:p>
        </w:tc>
      </w:tr>
    </w:tbl>
    <w:p>
      <w:r>
        <w:t>模型训练侧不在报告中宣称商业效果，只说明可复核流程：样本收集与清洗、风格/场景标签整理、自训练模型迭代、兼容接口注册、生成质量抽查、失败样本复盘和额度成本记录。这样既能解释算力消耗，也避免把研究演示误写成生产服务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自训练生图模型推理验证。通过 OpenAI 兼容接口调用自训练模型，重点观察耗时、失败率、并发上限、参考图支持和输出可下载性。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视频生成训练(条件投入)。视频仍作为条件方向，只有在成本、稳定性和业务反馈都能解释时才少量投入；否则算力回流到图片生成和演示系统稳定性。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演示系统完整版本迭代。基于 内测反馈，补齐模板选择、自由提示词、历史、下载、管理配置、失败重试和结果不确定提示。部署地址保留为 https://fancy-image.duckdns.org。</w:t>
      </w:r>
    </w:p>
    <w:p>
      <w:pPr>
        <w:pStyle w:val="Heading2"/>
        <w:spacing w:after="120" w:before="260"/>
      </w:pPr>
      <w:r>
        <w:t>2.4 峰值期交付物与验收标准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研究稳健性全表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候选方向完成样本外、压力、成本和失败原因复核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模型与执行原型摘要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元标签/时序/L2/RL 原型均有指标摘要；未写成收益承诺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纸面门禁报告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明确 真实资金保持阻断条件、最小样本、正盈亏、非重叠样本和来源追溯要求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自训练模型推理链路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真实模型服务通道 与 模拟生成通道可区分，失败/unknown/退款可追溯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视频生成模型(条件)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仅输出可行性结论；未达条件则不继续消耗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演示系统完整版本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https://fancy-image.duckdns.org 可访问，关键链路可演示</w:t>
            </w:r>
          </w:p>
        </w:tc>
      </w:tr>
    </w:tbl>
    <w:p>
      <w:pPr>
        <w:pStyle w:val="Heading1"/>
        <w:spacing w:after="180" w:before="360"/>
      </w:pPr>
      <w:r>
        <w:t>三、子阶段 3B · 收敛期(27 台,24 天)</w:t>
      </w:r>
    </w:p>
    <w:p>
      <w:pPr>
        <w:pStyle w:val="Heading2"/>
        <w:spacing w:after="120" w:before="260"/>
      </w:pPr>
      <w:r>
        <w:t>3.1 算力分配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5326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用途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台数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收敛复核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8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保留/观察/停止分类 · 敏感性补充证据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纸面/回放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5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纸面分组验证复核 · 回放一致性 · 风险归因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 推理稳定性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7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超时、并发、重试、退款、模型服务调用记录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·演示系统内部发布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4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试用反馈 · 管理后台 · 下载/历史/重试体验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 / 应急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退场迁移 · 文档归档 · 临时故障处理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27 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收敛期不再铺新重型方向</w:t>
            </w:r>
          </w:p>
        </w:tc>
      </w:tr>
    </w:tbl>
    <w:p>
      <w:pPr>
        <w:pStyle w:val="Heading2"/>
        <w:spacing w:after="120" w:before="260"/>
      </w:pPr>
      <w:r>
        <w:t>3.2 工作内容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量化:模型与策略收敛。把第三期峰值期留下的候选按“保留、观察、停止”三类归档，保留项必须有样本外、压力测试、纸面或回放证据。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量化:可继续研究策略最终复核。对少数研究线补充回测、敏感性、成本和风险归因；当前只形成 模拟盘/演示系统级评审材料，不表述为可实盘上线。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生图:推理链路收敛。围绕超时、并发、重试、结果不确定状态、退款和模型服务调用记录做稳定性优化，而不是盲目扩大生成量。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生图:演示系统内部发布。把演示系统从开发验收推进到更多内部使用者可试用的状态，收集反馈但不承诺外部 SLA。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合同一退场:数据/checkpoint 迁移。所有研究工件、生成资产、模型摘要、配置和文档在退场前完成复制和清点，避免算力退场后证据丢失。</w:t>
      </w:r>
    </w:p>
    <w:p>
      <w:pPr>
        <w:pStyle w:val="Heading2"/>
        <w:spacing w:after="120" w:before="260"/>
      </w:pPr>
      <w:r>
        <w:t>3.3 收敛期交付物与验收标准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收敛分类报告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每条研究线给出保留、观察或停止投入的理由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模拟盘/演示系统评审材料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包含回测、纸面、风险、失败原因和下一步，不承诺实盘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策略资产归档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代码、配置、样本窗口、结果和文档可迁移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推理稳定性报告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成功、失败、结果不确定状态、退款和真实模型服务通道 成本可解释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演示系统内部试用报告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覆盖核心页面、生成、历史、下载和管理配置反馈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合同一退场迁移完成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数据、模型摘要、镜像/配置、文档和生成资产完成清点</w:t>
            </w:r>
          </w:p>
        </w:tc>
      </w:tr>
    </w:tbl>
    <w:p>
      <w:pPr>
        <w:pStyle w:val="Heading1"/>
        <w:spacing w:after="180" w:before="360"/>
      </w:pPr>
      <w:r>
        <w:t>四、子阶段 3C · 运营期(16 台,74 天)</w:t>
      </w:r>
    </w:p>
    <w:p>
      <w:pPr>
        <w:pStyle w:val="Heading2"/>
        <w:spacing w:after="120" w:before="260"/>
      </w:pPr>
      <w:r>
        <w:t>4.1 算力分配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5326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用途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台数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纸面监控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5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少数研究线的 模拟盘分组验证 运行、归因和门禁复核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下一轮研究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基于失败清单和保留项设计下一轮方向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LLM 辅助研究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文本/决策日志/质量门控内部研究服务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·演示系统维护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公网演示系统、生成历史、下载、管理后台小版本维护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 新一轮迭代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基于反馈小规模测试新模板/参考图能力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 / 应急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1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合同二退场迁移、最终归档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16 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运营期只保留必要研究/演示系统消耗</w:t>
            </w:r>
          </w:p>
        </w:tc>
      </w:tr>
    </w:tbl>
    <w:p>
      <w:pPr>
        <w:pStyle w:val="Heading2"/>
        <w:spacing w:after="120" w:before="260"/>
      </w:pPr>
      <w:r>
        <w:t>4.2 工作内容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量化:纸面运行与监控。少数研究线继续做 纸面分组验证/回放验证，跟踪 盈亏、交易数、交易形态来源、风险敞口和拒绝原因；未满足门禁前保持 真实资金保持阻断。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量化:新一轮研究路线图。基于本轮失败和保留项，整理下一轮候选方向，而不是继续扩散所有分支。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生图:演示系统维护与小迭代。围绕真实模型服务通道 成本、生成失败、下载、模板体验和管理后台做小步迭代。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合同二退场:数据/checkpoint 迁移。确保剩余 16 台可支撑演示系统和研究复核，重型训练不再启动。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年度报告与论证。1 月底前输出算力消耗、研究资产、演示系统状态、失败清单和下一轮采购建议。</w:t>
      </w:r>
    </w:p>
    <w:p>
      <w:pPr>
        <w:pStyle w:val="Heading2"/>
        <w:spacing w:after="120" w:before="260"/>
      </w:pPr>
      <w:r>
        <w:t>4.3 运营期交付物与验收标准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模拟盘/演示系统运行报告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记录交易数、盈亏、交易形态来源、失败原因和 阻断条件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新一轮研究路线图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明确下一轮继续投入和明确停止的方向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LLM 辅助研究服务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用于内部研究归因和质量门控，不作为自动实盘依据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演示站持续运营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公网可访问，核心链路有回归/验收记录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新一批小规模能力验证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围绕模板、参考图、多图故事或管理体验做小步测试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年度算力使用报告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覆盖全周期利用、产出、失败、风险和下一轮采购建议</w:t>
            </w:r>
          </w:p>
        </w:tc>
      </w:tr>
    </w:tbl>
    <w:p>
      <w:pPr>
        <w:pStyle w:val="Heading1"/>
        <w:spacing w:after="180" w:before="360"/>
      </w:pPr>
      <w:r>
        <w:t>五、跨子阶段共享的风险与依赖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退场预案是本期最大风险。算力逐步减少时，最容易丢的是日志、模型摘要、生成资产和回测工件，必须提前两周做迁移清单。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峰值期任务排队压力高。36 台并发并不等于 36 台都有效产出，必须给每个重型任务设定目的、停止条件和验收口径。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研究方向最终收敛。第三期开始后不再接受无限新增方向；新增想法只能进入下一轮路线图。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策略上线节奏。本期不承诺实盘业绩，最多形成 模拟盘/演示系统级别证据和下一周期评审材料。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生图演示系统的合规与成本。公网可访问的演示系统需要控制生成内容、隐藏密钥、区分模拟生成通道与真实生成通道，并把真实调用成本单独记录。</w:t>
      </w:r>
    </w:p>
    <w:p>
      <w:pPr>
        <w:pStyle w:val="Heading1"/>
        <w:spacing w:after="180" w:before="360"/>
      </w:pPr>
      <w:r>
        <w:t>六、阶段评审清单</w:t>
      </w:r>
    </w:p>
    <w:p>
      <w:pPr>
        <w:spacing w:after="140" w:line="360"/>
        <w:jc w:val="both"/>
      </w:pPr>
      <w:r>
        <w:t>本期跨度大，设三次评审节点:峰值期末、收敛期末、运营期末。</w:t>
      </w:r>
    </w:p>
    <w:p>
      <w:pPr>
        <w:pStyle w:val="Heading3"/>
        <w:spacing w:after="80" w:before="180"/>
      </w:pPr>
      <w:r>
        <w:t>6.1 峰值期末评审(10/25)</w:t>
      </w:r>
    </w:p>
    <w:p>
      <w:pPr>
        <w:spacing w:after="80" w:line="340"/>
        <w:ind w:left="360"/>
      </w:pPr>
      <w:r>
        <w:t>☑  多路线量化稳健性重跑完成，失败分支已归档</w:t>
      </w:r>
    </w:p>
    <w:p>
      <w:pPr>
        <w:spacing w:after="80" w:line="340"/>
        <w:ind w:left="360"/>
      </w:pPr>
      <w:r>
        <w:t>☑  元标签/时序模型和微观结构原型完成研究级评估</w:t>
      </w:r>
    </w:p>
    <w:p>
      <w:pPr>
        <w:spacing w:after="80" w:line="340"/>
        <w:ind w:left="360"/>
      </w:pPr>
      <w:r>
        <w:t>☑  执行/纸面框架保留 失败即阻断门禁</w:t>
      </w:r>
    </w:p>
    <w:p>
      <w:pPr>
        <w:spacing w:after="80" w:line="340"/>
        <w:ind w:left="360"/>
      </w:pPr>
      <w:r>
        <w:t>☑  自训练生图模型推理链路完成真实/模拟通道核验</w:t>
      </w:r>
    </w:p>
    <w:p>
      <w:pPr>
        <w:spacing w:after="80" w:line="340"/>
        <w:ind w:left="360"/>
      </w:pPr>
      <w:r>
        <w:t>☑  视频方向完成可行性判断或明确放弃</w:t>
      </w:r>
    </w:p>
    <w:p>
      <w:pPr>
        <w:spacing w:after="80" w:line="340"/>
        <w:ind w:left="360"/>
      </w:pPr>
      <w:r>
        <w:t>☑  演示站无明显阻断项，关键失败路径可解释</w:t>
      </w:r>
    </w:p>
    <w:p>
      <w:pPr>
        <w:spacing w:after="80" w:line="340"/>
        <w:ind w:left="360"/>
      </w:pPr>
      <w:r>
        <w:t>☑  合同一退场预案评审通过</w:t>
      </w:r>
    </w:p>
    <w:p>
      <w:pPr>
        <w:pStyle w:val="Heading3"/>
        <w:spacing w:after="80" w:before="180"/>
      </w:pPr>
      <w:r>
        <w:t>6.2 收敛期末评审(11/18)</w:t>
      </w:r>
    </w:p>
    <w:p>
      <w:pPr>
        <w:spacing w:after="80" w:line="340"/>
        <w:ind w:left="360"/>
      </w:pPr>
      <w:r>
        <w:t>☑  量化候选方向完成保留/观察/停止分类</w:t>
      </w:r>
    </w:p>
    <w:p>
      <w:pPr>
        <w:spacing w:after="80" w:line="340"/>
        <w:ind w:left="360"/>
      </w:pPr>
      <w:r>
        <w:t>☑  可继续研究的策略线完成回测、敏感性和风险归因材料</w:t>
      </w:r>
    </w:p>
    <w:p>
      <w:pPr>
        <w:spacing w:after="80" w:line="340"/>
        <w:ind w:left="360"/>
      </w:pPr>
      <w:r>
        <w:t>☑  生图推理链路的超时、重试、退款和 结果不确定状态规则闭环</w:t>
      </w:r>
    </w:p>
    <w:p>
      <w:pPr>
        <w:spacing w:after="80" w:line="340"/>
        <w:ind w:left="360"/>
      </w:pPr>
      <w:r>
        <w:t>☑  演示站内部试用反馈已汇总</w:t>
      </w:r>
    </w:p>
    <w:p>
      <w:pPr>
        <w:spacing w:after="80" w:line="340"/>
        <w:ind w:left="360"/>
      </w:pPr>
      <w:r>
        <w:t>☑  合同一数据/模型/镜像/文档迁移完成</w:t>
      </w:r>
    </w:p>
    <w:p>
      <w:pPr>
        <w:spacing w:after="80" w:line="340"/>
        <w:ind w:left="360"/>
      </w:pPr>
      <w:r>
        <w:t>☑  合同二退场预案就绪</w:t>
      </w:r>
    </w:p>
    <w:p>
      <w:pPr>
        <w:pStyle w:val="Heading3"/>
        <w:spacing w:after="80" w:before="180"/>
      </w:pPr>
      <w:r>
        <w:t>6.3 运营期末评审(1/31)</w:t>
      </w:r>
    </w:p>
    <w:p>
      <w:pPr>
        <w:spacing w:after="80" w:line="340"/>
        <w:ind w:left="360"/>
      </w:pPr>
      <w:r>
        <w:t>☑  策略 模拟盘/演示系统运行和失败原因报告完成</w:t>
      </w:r>
    </w:p>
    <w:p>
      <w:pPr>
        <w:spacing w:after="80" w:line="340"/>
        <w:ind w:left="360"/>
      </w:pPr>
      <w:r>
        <w:t>☑  文本/LLM 辅助研究服务保留为内部研究能力</w:t>
      </w:r>
    </w:p>
    <w:p>
      <w:pPr>
        <w:spacing w:after="80" w:line="340"/>
        <w:ind w:left="360"/>
      </w:pPr>
      <w:r>
        <w:t>☑  演示站完成多轮小版本迭代和公网可达性复核</w:t>
      </w:r>
    </w:p>
    <w:p>
      <w:pPr>
        <w:spacing w:after="80" w:line="340"/>
        <w:ind w:left="360"/>
      </w:pPr>
      <w:r>
        <w:t>☑  新一轮研究路线图与下轮算力需求文档完成</w:t>
      </w:r>
    </w:p>
    <w:p>
      <w:pPr>
        <w:spacing w:after="80" w:line="340"/>
        <w:ind w:left="360"/>
      </w:pPr>
      <w:r>
        <w:t>☑  年度算力使用与产出报告完成</w:t>
      </w:r>
    </w:p>
    <w:p>
      <w:pPr>
        <w:spacing w:after="80" w:line="340"/>
        <w:ind w:left="360"/>
      </w:pPr>
      <w:r>
        <w:t>☑  所有数据/模型在合同三到期前形成最终归档预案</w:t>
      </w:r>
    </w:p>
    <w:p>
      <w:pPr>
        <w:pStyle w:val="Heading1"/>
        <w:spacing w:after="180" w:before="360"/>
      </w:pPr>
      <w:r>
        <w:t>七、整轮规划的最终交接</w:t>
      </w:r>
    </w:p>
    <w:p>
      <w:pPr>
        <w:spacing w:after="140" w:line="360"/>
        <w:jc w:val="both"/>
      </w:pPr>
      <w:r>
        <w:t>1/31 整轮结束时，需输出以下资产盘点清单，作为后续是否继续投入算力的依据: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模型资产:量化侧的元标签、时序、微观结构和 LLM 辅助研究摘要；生图侧的自训练模型接入配置、模型服务通道能力说明和演示系统生成链路。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策略资产:多条研究线的回测、纸面、失败阻断和可继续观察材料；不把这些材料描述为实盘收益。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因子资产:价量、波动、趋势、成交量、结构、文本/事件和 交易形态/交易时段标签等研究特征清单。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基础设施资产:回测框架、纸面门禁、日志、验收脚本、生成 API、费用/退款、模型服务调用记录、演示系统部署和端口规范。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演示站:代码、数据库快照、配置、生成资产和部署地址，可在下一轮算力到位后继续恢复。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数据资产:行情、回测、纸面、生成任务和图文输入样本的版本化归档。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文档资产:三期阶段文档、本轮算力消耗说明、研究失败清单、演示系统验收矩阵和下一轮路线图。</w:t>
      </w:r>
    </w:p>
    <w:p>
      <w:pPr>
        <w:spacing w:before="360"/>
        <w:jc w:val="center"/>
      </w:pPr>
      <w:r>
        <w:t>—— 第三期文档完 ——</w:t>
      </w:r>
    </w:p>
    <w:sectPr>
      <w:headerReference w:type="default" ns2:id="rId7"/>
      <w:footerReference w:type="default" ns2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— 第 </w:t>
    </w: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 页 / 共 </w:t>
    </w: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 页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第三期 · 峰值与收敛期  ·  8/31 - 1/31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Microsoft YaHei" w:cs="Microsoft YaHei" w:eastAsia="Microsoft YaHei" w:hAnsi="Microsoft YaHei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Microsoft YaHei" w:cs="Microsoft YaHei" w:eastAsia="Microsoft YaHei" w:hAnsi="Microsoft YaHei"/>
      <w:b/>
      <w:bCs/>
      <w:color w:val="2E5395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Microsoft YaHei" w:cs="Microsoft YaHei" w:eastAsia="Microsoft YaHei" w:hAnsi="Microsoft YaHei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第三期 · 峰值与收敛期</dc:title>
  <dc:creator>R&amp;D Planning</dc:creator>
  <cp:lastModifiedBy>Un-named</cp:lastModifiedBy>
  <cp:revision>1</cp:revision>
  <dcterms:created xsi:type="dcterms:W3CDTF">2026-05-22T08:59:34.515Z</dcterms:created>
  <dcterms:modified xsi:type="dcterms:W3CDTF">2026-05-22T08:59:34.515Z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