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ns1="http://schemas.openxmlformats.org/markup-compatibility/2006" xmlns:ns2="http://schemas.openxmlformats.org/officeDocument/2006/relationships" xmlns:w="http://schemas.openxmlformats.org/wordprocessingml/2006/main" ns1:Ignorable="w14 w15 wp14">
  <w:body>
    <w:p>
      <w:pPr>
        <w:spacing w:after="180" w:before="600"/>
        <w:jc w:val="center"/>
      </w:pPr>
      <w:r>
        <w:t>第二期 · 扩研期</w:t>
      </w:r>
    </w:p>
    <w:p>
      <w:pPr>
        <w:spacing w:after="120"/>
        <w:jc w:val="center"/>
      </w:pPr>
      <w:r>
        <w:t>Phase 2 · Scale-up Research</w:t>
      </w:r>
    </w:p>
    <w:p>
      <w:pPr>
        <w:spacing w:after="480"/>
      </w:pPr>
      <w:r>
        <w:rPr>
          <w:rFonts w:ascii="Microsoft YaHei" w:cs="Microsoft YaHei" w:eastAsia="Microsoft YaHei" w:hAnsi="Microsoft YaHei"/>
          <w:sz w:val="22"/>
          <w:szCs w:val="22"/>
        </w:rPr>
        <w:t xml:space="preserve"/>
      </w:r>
    </w:p>
    <w:p>
      <w:pPr>
        <w:spacing w:after="100"/>
        <w:jc w:val="center"/>
      </w:pPr>
      <w:r>
        <w:t>时间窗口:2025-06-19 ~ 2025-08-30(73 天)</w:t>
      </w:r>
    </w:p>
    <w:p>
      <w:pPr>
        <w:spacing w:after="100"/>
        <w:jc w:val="center"/>
      </w:pPr>
      <w:r>
        <w:t>算力规模:20 台(合同一 9 台 + 合同二 11 台) · 100M × 2 专线</w:t>
      </w:r>
    </w:p>
    <w:p>
      <w:pPr>
        <w:spacing w:after="100"/>
        <w:jc w:val="center"/>
      </w:pPr>
      <w:r>
        <w:t>覆盖项目:量化研究  +  生图模型与演示站</w:t>
      </w:r>
    </w:p>
    <w:p>
      <w:pPr>
        <w:spacing w:after="100"/>
        <w:jc w:val="center"/>
      </w:pPr>
      <w:r>
        <w:t>版本:v1.1   ·   阶段成果报告</w:t>
      </w:r>
    </w:p>
    <w:p>
      <w:pPr>
        <w:pStyle w:val="Heading1"/>
        <w:spacing w:after="180" w:before="360"/>
      </w:pPr>
      <w:r>
        <w:t>一、阶段定位</w:t>
      </w:r>
    </w:p>
    <w:p>
      <w:pPr>
        <w:spacing w:after="140" w:line="360"/>
        <w:jc w:val="both"/>
      </w:pPr>
      <w:r>
        <w:t>第二期是研究扩面和演示系统稳定性验证阶段。算力投入相比第一期明显增加，主要用来跑更多候选策略、更多模型结构、更多回放/纸面样本，以及生图真实模型服务通道 的成本治理和可靠性测试。</w:t>
      </w:r>
    </w:p>
    <w:p>
      <w:pPr>
        <w:spacing w:after="140" w:line="360"/>
        <w:jc w:val="both"/>
      </w:pPr>
      <w:r>
        <w:t>一句话总结:第二期结束时，量化侧已经形成多路线并行的研究证据池和 失败即阻断门禁体系；生图侧完成自训练模型接入后的真实/模拟通道分离、计费补偿、参考图管控和 演示站可达性验收。</w:t>
      </w:r>
    </w:p>
    <w:p>
      <w:pPr>
        <w:spacing w:after="140" w:line="360"/>
        <w:jc w:val="both"/>
      </w:pPr>
      <w:r>
        <w:t>在整体规划中的位置:本期承上启下。它不证明项目已经商业化成功，而是把“值得继续消耗算力的方向”和“应该停止投入的方向”分出来，为第三期收敛和资产归档做准备。</w:t>
      </w:r>
    </w:p>
    <w:p>
      <w:pPr>
        <w:pStyle w:val="Heading1"/>
        <w:spacing w:after="180" w:before="360"/>
      </w:pPr>
      <w:r>
        <w:t>二、算力分配</w:t>
      </w:r>
    </w:p>
    <w:p>
      <w:pPr>
        <w:spacing w:after="140" w:line="360"/>
        <w:jc w:val="both"/>
      </w:pPr>
      <w:r>
        <w:t>20 台机器按实际研究方向归集。量化侧继续占比较高，用于因子/策略搜索、深度模型、L2 微观结构、套利回放和日内纸面门禁；生图侧用于自训练模型推理、参考图、多图任务、真实模型服务通道 验收和演示系统稳定性。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00"/>
        <w:gridCol w:w="5326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用途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台数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说明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 · 因子/策略挖掘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5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树模型元标签 · 轻量时序模型 · 规则基线 · 候选分支筛选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 · 文本/LLM 与纸面门禁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4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LLM 决策日志 · 交易形态/交易时段标签 · 离线质量门控 · 纸面证据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 · 回测与组合优化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3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8F1F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样本外验证 · walk-forward · 成本/滑点 · 组合相关性与套利家族比较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 · 自训练模型推理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4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OpenAI 兼容生成/编辑接口 · 真实模型服务通道 验收 · 模板生成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 · 参考图/适配器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2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多参考输入 · 能力三态 · 风格/场景候选能力预研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 ·演示系统与成本治理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1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EE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异步 任务处理器 · 费用预扣/退款 ·演示系统可达性和前端验收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共享 / 机动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1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端口/日志/验收矩阵 · 临时故障和迁移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合计</w:t>
            </w:r>
          </w:p>
        </w:tc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20 台</w:t>
            </w:r>
          </w:p>
        </w:tc>
        <w:tc>
          <w:tcPr>
            <w:tcW w:type="dxa" w:w="53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全部按研究/演示系统算力消耗口径统计</w:t>
            </w:r>
          </w:p>
        </w:tc>
      </w:tr>
    </w:tbl>
    <w:p>
      <w:pPr>
        <w:pStyle w:val="Heading1"/>
        <w:spacing w:after="180" w:before="360"/>
      </w:pPr>
      <w:r>
        <w:t>三、量化研究任务</w:t>
      </w:r>
    </w:p>
    <w:p>
      <w:pPr>
        <w:pStyle w:val="Heading2"/>
        <w:spacing w:after="120" w:before="260"/>
      </w:pPr>
      <w:r>
        <w:t>3.1 深度学习因子挖掘(5 台)</w:t>
      </w:r>
    </w:p>
    <w:p>
      <w:r>
        <w:rPr>
          <w:b/>
        </w:rPr>
        <w:t>量化策略池实绩概览</w:t>
      </w:r>
    </w:p>
    <w:p>
      <w:r>
        <w:t>第二期真正消耗算力的重点，是把大量候选策略放到同一把尺子下比较。最终归档为 16 个策略家族：4 条核心主线、3 条可用主线、2 条观察/待修复、3 条冻结研究、4 条关闭/失败线。失败线并不是无效工作，它们说明哪些市场假设无法通过样本外复核，从而减少第三期重复投入。</w:t>
      </w:r>
    </w:p>
    <w:tbl>
      <w:tblPr>
        <w:tblStyle w:val="TableGrid"/>
        <w:tblW w:w="0" w:type="auto"/>
        <w:tblLook w:val="04A0"/>
      </w:tblPr>
      <w:tblGrid>
        <w:gridCol w:w="1800"/>
        <w:gridCol w:w="1800"/>
        <w:gridCol w:w="1800"/>
        <w:gridCol w:w="1800"/>
        <w:gridCol w:w="1800"/>
        <w:gridCol w:w="1800"/>
        <w:gridCol w:w="1800"/>
        <w:gridCol w:w="1800"/>
      </w:tblGrid>
      <w:tr>
        <w:tc>
          <w:tcPr>
            <w:tcW w:w="2400" w:type="dxa"/>
          </w:tcPr>
          <w:p>
            <w:r>
              <w:rPr>
                <w:b/>
              </w:rPr>
              <w:t>编号</w:t>
            </w:r>
          </w:p>
        </w:tc>
        <w:tc>
          <w:tcPr>
            <w:tcW w:w="2400" w:type="dxa"/>
          </w:tcPr>
          <w:p>
            <w:r>
              <w:rPr>
                <w:b/>
              </w:rPr>
              <w:t>类型说明</w:t>
            </w:r>
          </w:p>
        </w:tc>
        <w:tc>
          <w:tcPr>
            <w:tcW w:w="2400" w:type="dxa"/>
          </w:tcPr>
          <w:p>
            <w:r>
              <w:rPr>
                <w:b/>
              </w:rPr>
              <w:t>状态</w:t>
            </w:r>
          </w:p>
        </w:tc>
        <w:tc>
          <w:tcPr>
            <w:tcW w:w="2400" w:type="dxa"/>
          </w:tcPr>
          <w:p>
            <w:r>
              <w:rPr>
                <w:b/>
              </w:rPr>
              <w:t>年化收益</w:t>
            </w:r>
          </w:p>
        </w:tc>
        <w:tc>
          <w:tcPr>
            <w:tcW w:w="2400" w:type="dxa"/>
          </w:tcPr>
          <w:p>
            <w:r>
              <w:rPr>
                <w:b/>
              </w:rPr>
              <w:t>最大回撤</w:t>
            </w:r>
          </w:p>
        </w:tc>
        <w:tc>
          <w:tcPr>
            <w:tcW w:w="2400" w:type="dxa"/>
          </w:tcPr>
          <w:p>
            <w:r>
              <w:rPr>
                <w:b/>
              </w:rPr>
              <w:t>PF</w:t>
            </w:r>
          </w:p>
        </w:tc>
        <w:tc>
          <w:tcPr>
            <w:tcW w:w="2400" w:type="dxa"/>
          </w:tcPr>
          <w:p>
            <w:r>
              <w:rPr>
                <w:b/>
              </w:rPr>
              <w:t>Q 分</w:t>
            </w:r>
          </w:p>
        </w:tc>
        <w:tc>
          <w:tcPr>
            <w:tcW w:w="2400" w:type="dxa"/>
          </w:tcPr>
          <w:p>
            <w:r>
              <w:rPr>
                <w:b/>
              </w:rPr>
              <w:t>普通说明</w:t>
            </w:r>
          </w:p>
        </w:tc>
      </w:tr>
      <w:tr>
        <w:tc>
          <w:tcPr>
            <w:tcW w:w="2400" w:type="dxa"/>
          </w:tcPr>
          <w:p>
            <w:r>
              <w:t>策略A</w:t>
            </w:r>
          </w:p>
        </w:tc>
        <w:tc>
          <w:tcPr>
            <w:tcW w:w="2400" w:type="dxa"/>
          </w:tcPr>
          <w:p>
            <w:r>
              <w:t>趋势延续与中期动量</w:t>
            </w:r>
          </w:p>
        </w:tc>
        <w:tc>
          <w:tcPr>
            <w:tcW w:w="2400" w:type="dxa"/>
          </w:tcPr>
          <w:p>
            <w:r>
              <w:t>核心主线</w:t>
            </w:r>
          </w:p>
        </w:tc>
        <w:tc>
          <w:tcPr>
            <w:tcW w:w="2400" w:type="dxa"/>
          </w:tcPr>
          <w:p>
            <w:r>
              <w:t>38.7%</w:t>
            </w:r>
          </w:p>
        </w:tc>
        <w:tc>
          <w:tcPr>
            <w:tcW w:w="2400" w:type="dxa"/>
          </w:tcPr>
          <w:p>
            <w:r>
              <w:t>7.0%</w:t>
            </w:r>
          </w:p>
        </w:tc>
        <w:tc>
          <w:tcPr>
            <w:tcW w:w="2400" w:type="dxa"/>
          </w:tcPr>
          <w:p>
            <w:r>
              <w:t>2.00</w:t>
            </w:r>
          </w:p>
        </w:tc>
        <w:tc>
          <w:tcPr>
            <w:tcW w:w="2400" w:type="dxa"/>
          </w:tcPr>
          <w:p>
            <w:r>
              <w:t>7.81</w:t>
            </w:r>
          </w:p>
        </w:tc>
        <w:tc>
          <w:tcPr>
            <w:tcW w:w="2400" w:type="dxa"/>
          </w:tcPr>
          <w:p>
            <w:r>
              <w:t>收益/回撤比突出，适合作为组合里的进攻腿。</w:t>
            </w:r>
          </w:p>
        </w:tc>
      </w:tr>
      <w:tr>
        <w:tc>
          <w:tcPr>
            <w:tcW w:w="2400" w:type="dxa"/>
          </w:tcPr>
          <w:p>
            <w:r>
              <w:t>策略B</w:t>
            </w:r>
          </w:p>
        </w:tc>
        <w:tc>
          <w:tcPr>
            <w:tcW w:w="2400" w:type="dxa"/>
          </w:tcPr>
          <w:p>
            <w:r>
              <w:t>低波动状态识别与仓位切换</w:t>
            </w:r>
          </w:p>
        </w:tc>
        <w:tc>
          <w:tcPr>
            <w:tcW w:w="2400" w:type="dxa"/>
          </w:tcPr>
          <w:p>
            <w:r>
              <w:t>核心主线</w:t>
            </w:r>
          </w:p>
        </w:tc>
        <w:tc>
          <w:tcPr>
            <w:tcW w:w="2400" w:type="dxa"/>
          </w:tcPr>
          <w:p>
            <w:r>
              <w:t>19.1%</w:t>
            </w:r>
          </w:p>
        </w:tc>
        <w:tc>
          <w:tcPr>
            <w:tcW w:w="2400" w:type="dxa"/>
          </w:tcPr>
          <w:p>
            <w:r>
              <w:t>3.3%</w:t>
            </w:r>
          </w:p>
        </w:tc>
        <w:tc>
          <w:tcPr>
            <w:tcW w:w="2400" w:type="dxa"/>
          </w:tcPr>
          <w:p>
            <w:r>
              <w:t>3.30</w:t>
            </w:r>
          </w:p>
        </w:tc>
        <w:tc>
          <w:tcPr>
            <w:tcW w:w="2400" w:type="dxa"/>
          </w:tcPr>
          <w:p>
            <w:r>
              <w:t>10.56</w:t>
            </w:r>
          </w:p>
        </w:tc>
        <w:tc>
          <w:tcPr>
            <w:tcW w:w="2400" w:type="dxa"/>
          </w:tcPr>
          <w:p>
            <w:r>
              <w:t>回撤低、PF 高，适合承担稳定性角色。</w:t>
            </w:r>
          </w:p>
        </w:tc>
      </w:tr>
      <w:tr>
        <w:tc>
          <w:tcPr>
            <w:tcW w:w="2400" w:type="dxa"/>
          </w:tcPr>
          <w:p>
            <w:r>
              <w:t>策略C</w:t>
            </w:r>
          </w:p>
        </w:tc>
        <w:tc>
          <w:tcPr>
            <w:tcW w:w="2400" w:type="dxa"/>
          </w:tcPr>
          <w:p>
            <w:r>
              <w:t>波动收缩后的突破确认</w:t>
            </w:r>
          </w:p>
        </w:tc>
        <w:tc>
          <w:tcPr>
            <w:tcW w:w="2400" w:type="dxa"/>
          </w:tcPr>
          <w:p>
            <w:r>
              <w:t>核心主线</w:t>
            </w:r>
          </w:p>
        </w:tc>
        <w:tc>
          <w:tcPr>
            <w:tcW w:w="2400" w:type="dxa"/>
          </w:tcPr>
          <w:p>
            <w:r>
              <w:t>18.8%</w:t>
            </w:r>
          </w:p>
        </w:tc>
        <w:tc>
          <w:tcPr>
            <w:tcW w:w="2400" w:type="dxa"/>
          </w:tcPr>
          <w:p>
            <w:r>
              <w:t>2.8%</w:t>
            </w:r>
          </w:p>
        </w:tc>
        <w:tc>
          <w:tcPr>
            <w:tcW w:w="2400" w:type="dxa"/>
          </w:tcPr>
          <w:p>
            <w:r>
              <w:t>2.78</w:t>
            </w:r>
          </w:p>
        </w:tc>
        <w:tc>
          <w:tcPr>
            <w:tcW w:w="2400" w:type="dxa"/>
          </w:tcPr>
          <w:p>
            <w:r>
              <w:t>11.31</w:t>
            </w:r>
          </w:p>
        </w:tc>
        <w:tc>
          <w:tcPr>
            <w:tcW w:w="2400" w:type="dxa"/>
          </w:tcPr>
          <w:p>
            <w:r>
              <w:t>最大回撤最低，质量分最高，适合作为防守型候选。</w:t>
            </w:r>
          </w:p>
        </w:tc>
      </w:tr>
      <w:tr>
        <w:tc>
          <w:tcPr>
            <w:tcW w:w="2400" w:type="dxa"/>
          </w:tcPr>
          <w:p>
            <w:r>
              <w:t>策略D</w:t>
            </w:r>
          </w:p>
        </w:tc>
        <w:tc>
          <w:tcPr>
            <w:tcW w:w="2400" w:type="dxa"/>
          </w:tcPr>
          <w:p>
            <w:r>
              <w:t>宏观/市场状态过滤</w:t>
            </w:r>
          </w:p>
        </w:tc>
        <w:tc>
          <w:tcPr>
            <w:tcW w:w="2400" w:type="dxa"/>
          </w:tcPr>
          <w:p>
            <w:r>
              <w:t>核心主线</w:t>
            </w:r>
          </w:p>
        </w:tc>
        <w:tc>
          <w:tcPr>
            <w:tcW w:w="2400" w:type="dxa"/>
          </w:tcPr>
          <w:p>
            <w:r>
              <w:t>15.0%</w:t>
            </w:r>
          </w:p>
        </w:tc>
        <w:tc>
          <w:tcPr>
            <w:tcW w:w="2400" w:type="dxa"/>
          </w:tcPr>
          <w:p>
            <w:r>
              <w:t>5.4%</w:t>
            </w:r>
          </w:p>
        </w:tc>
        <w:tc>
          <w:tcPr>
            <w:tcW w:w="2400" w:type="dxa"/>
          </w:tcPr>
          <w:p>
            <w:r>
              <w:t>2.07</w:t>
            </w:r>
          </w:p>
        </w:tc>
        <w:tc>
          <w:tcPr>
            <w:tcW w:w="2400" w:type="dxa"/>
          </w:tcPr>
          <w:p>
            <w:r>
              <w:t>4.03</w:t>
            </w:r>
          </w:p>
        </w:tc>
        <w:tc>
          <w:tcPr>
            <w:tcW w:w="2400" w:type="dxa"/>
          </w:tcPr>
          <w:p>
            <w:r>
              <w:t>收益不激进，但稳定性好，可作为组合过滤器。</w:t>
            </w:r>
          </w:p>
        </w:tc>
      </w:tr>
      <w:tr>
        <w:tc>
          <w:tcPr>
            <w:tcW w:w="2400" w:type="dxa"/>
          </w:tcPr>
          <w:p>
            <w:r>
              <w:t>策略E</w:t>
            </w:r>
          </w:p>
        </w:tc>
        <w:tc>
          <w:tcPr>
            <w:tcW w:w="2400" w:type="dxa"/>
          </w:tcPr>
          <w:p>
            <w:r>
              <w:t>多信号组合确认</w:t>
            </w:r>
          </w:p>
        </w:tc>
        <w:tc>
          <w:tcPr>
            <w:tcW w:w="2400" w:type="dxa"/>
          </w:tcPr>
          <w:p>
            <w:r>
              <w:t>可用主线</w:t>
            </w:r>
          </w:p>
        </w:tc>
        <w:tc>
          <w:tcPr>
            <w:tcW w:w="2400" w:type="dxa"/>
          </w:tcPr>
          <w:p>
            <w:r>
              <w:t>27.6%</w:t>
            </w:r>
          </w:p>
        </w:tc>
        <w:tc>
          <w:tcPr>
            <w:tcW w:w="2400" w:type="dxa"/>
          </w:tcPr>
          <w:p>
            <w:r>
              <w:t>11.0%</w:t>
            </w:r>
          </w:p>
        </w:tc>
        <w:tc>
          <w:tcPr>
            <w:tcW w:w="2400" w:type="dxa"/>
          </w:tcPr>
          <w:p>
            <w:r>
              <w:t>1.38</w:t>
            </w:r>
          </w:p>
        </w:tc>
        <w:tc>
          <w:tcPr>
            <w:tcW w:w="2400" w:type="dxa"/>
          </w:tcPr>
          <w:p>
            <w:r>
              <w:t>2.95</w:t>
            </w:r>
          </w:p>
        </w:tc>
        <w:tc>
          <w:tcPr>
            <w:tcW w:w="2400" w:type="dxa"/>
          </w:tcPr>
          <w:p>
            <w:r>
              <w:t>收益较高，回撤可控，需继续看组合相关性。</w:t>
            </w:r>
          </w:p>
        </w:tc>
      </w:tr>
      <w:tr>
        <w:tc>
          <w:tcPr>
            <w:tcW w:w="2400" w:type="dxa"/>
          </w:tcPr>
          <w:p>
            <w:r>
              <w:t>策略F</w:t>
            </w:r>
          </w:p>
        </w:tc>
        <w:tc>
          <w:tcPr>
            <w:tcW w:w="2400" w:type="dxa"/>
          </w:tcPr>
          <w:p>
            <w:r>
              <w:t>价格结构与订单流确认</w:t>
            </w:r>
          </w:p>
        </w:tc>
        <w:tc>
          <w:tcPr>
            <w:tcW w:w="2400" w:type="dxa"/>
          </w:tcPr>
          <w:p>
            <w:r>
              <w:t>可用主线</w:t>
            </w:r>
          </w:p>
        </w:tc>
        <w:tc>
          <w:tcPr>
            <w:tcW w:w="2400" w:type="dxa"/>
          </w:tcPr>
          <w:p>
            <w:r>
              <w:t>20.2%</w:t>
            </w:r>
          </w:p>
        </w:tc>
        <w:tc>
          <w:tcPr>
            <w:tcW w:w="2400" w:type="dxa"/>
          </w:tcPr>
          <w:p>
            <w:r>
              <w:t>7.5%</w:t>
            </w:r>
          </w:p>
        </w:tc>
        <w:tc>
          <w:tcPr>
            <w:tcW w:w="2400" w:type="dxa"/>
          </w:tcPr>
          <w:p>
            <w:r>
              <w:t>1.68</w:t>
            </w:r>
          </w:p>
        </w:tc>
        <w:tc>
          <w:tcPr>
            <w:tcW w:w="2400" w:type="dxa"/>
          </w:tcPr>
          <w:p>
            <w:r>
              <w:t>3.51</w:t>
            </w:r>
          </w:p>
        </w:tc>
        <w:tc>
          <w:tcPr>
            <w:tcW w:w="2400" w:type="dxa"/>
          </w:tcPr>
          <w:p>
            <w:r>
              <w:t>质量分进入可用区间，后续重点看交易拥挤度。</w:t>
            </w:r>
          </w:p>
        </w:tc>
      </w:tr>
      <w:tr>
        <w:tc>
          <w:tcPr>
            <w:tcW w:w="2400" w:type="dxa"/>
          </w:tcPr>
          <w:p>
            <w:r>
              <w:t>策略G</w:t>
            </w:r>
          </w:p>
        </w:tc>
        <w:tc>
          <w:tcPr>
            <w:tcW w:w="2400" w:type="dxa"/>
          </w:tcPr>
          <w:p>
            <w:r>
              <w:t>短中期动量跟随</w:t>
            </w:r>
          </w:p>
        </w:tc>
        <w:tc>
          <w:tcPr>
            <w:tcW w:w="2400" w:type="dxa"/>
          </w:tcPr>
          <w:p>
            <w:r>
              <w:t>可用主线</w:t>
            </w:r>
          </w:p>
        </w:tc>
        <w:tc>
          <w:tcPr>
            <w:tcW w:w="2400" w:type="dxa"/>
          </w:tcPr>
          <w:p>
            <w:r>
              <w:t>29.8%</w:t>
            </w:r>
          </w:p>
        </w:tc>
        <w:tc>
          <w:tcPr>
            <w:tcW w:w="2400" w:type="dxa"/>
          </w:tcPr>
          <w:p>
            <w:r>
              <w:t>16.1%</w:t>
            </w:r>
          </w:p>
        </w:tc>
        <w:tc>
          <w:tcPr>
            <w:tcW w:w="2400" w:type="dxa"/>
          </w:tcPr>
          <w:p>
            <w:r>
              <w:t>1.36</w:t>
            </w:r>
          </w:p>
        </w:tc>
        <w:tc>
          <w:tcPr>
            <w:tcW w:w="2400" w:type="dxa"/>
          </w:tcPr>
          <w:p>
            <w:r>
              <w:t>2.15</w:t>
            </w:r>
          </w:p>
        </w:tc>
        <w:tc>
          <w:tcPr>
            <w:tcW w:w="2400" w:type="dxa"/>
          </w:tcPr>
          <w:p>
            <w:r>
              <w:t>收益高但回撤也高，需要仓位和止损进一步约束。</w:t>
            </w:r>
          </w:p>
        </w:tc>
      </w:tr>
      <w:tr>
        <w:tc>
          <w:tcPr>
            <w:tcW w:w="2400" w:type="dxa"/>
          </w:tcPr>
          <w:p>
            <w:r>
              <w:t>策略H</w:t>
            </w:r>
          </w:p>
        </w:tc>
        <w:tc>
          <w:tcPr>
            <w:tcW w:w="2400" w:type="dxa"/>
          </w:tcPr>
          <w:p>
            <w:r>
              <w:t>流动性变化与修复信号</w:t>
            </w:r>
          </w:p>
        </w:tc>
        <w:tc>
          <w:tcPr>
            <w:tcW w:w="2400" w:type="dxa"/>
          </w:tcPr>
          <w:p>
            <w:r>
              <w:t>观察/待修复</w:t>
            </w:r>
          </w:p>
        </w:tc>
        <w:tc>
          <w:tcPr>
            <w:tcW w:w="2400" w:type="dxa"/>
          </w:tcPr>
          <w:p>
            <w:r>
              <w:t>9.9%</w:t>
            </w:r>
          </w:p>
        </w:tc>
        <w:tc>
          <w:tcPr>
            <w:tcW w:w="2400" w:type="dxa"/>
          </w:tcPr>
          <w:p>
            <w:r>
              <w:t>9.5%</w:t>
            </w:r>
          </w:p>
        </w:tc>
        <w:tc>
          <w:tcPr>
            <w:tcW w:w="2400" w:type="dxa"/>
          </w:tcPr>
          <w:p>
            <w:r>
              <w:t>1.22</w:t>
            </w:r>
          </w:p>
        </w:tc>
        <w:tc>
          <w:tcPr>
            <w:tcW w:w="2400" w:type="dxa"/>
          </w:tcPr>
          <w:p>
            <w:r>
              <w:t>1.16</w:t>
            </w:r>
          </w:p>
        </w:tc>
        <w:tc>
          <w:tcPr>
            <w:tcW w:w="2400" w:type="dxa"/>
          </w:tcPr>
          <w:p>
            <w:r>
              <w:t>收益为正但优势不厚，适合作为观察线。</w:t>
            </w:r>
          </w:p>
        </w:tc>
      </w:tr>
      <w:tr>
        <w:tc>
          <w:tcPr>
            <w:tcW w:w="2400" w:type="dxa"/>
          </w:tcPr>
          <w:p>
            <w:r>
              <w:t>策略I</w:t>
            </w:r>
          </w:p>
        </w:tc>
        <w:tc>
          <w:tcPr>
            <w:tcW w:w="2400" w:type="dxa"/>
          </w:tcPr>
          <w:p>
            <w:r>
              <w:t>回撤后反弹确认</w:t>
            </w:r>
          </w:p>
        </w:tc>
        <w:tc>
          <w:tcPr>
            <w:tcW w:w="2400" w:type="dxa"/>
          </w:tcPr>
          <w:p>
            <w:r>
              <w:t>观察/待修复</w:t>
            </w:r>
          </w:p>
        </w:tc>
        <w:tc>
          <w:tcPr>
            <w:tcW w:w="2400" w:type="dxa"/>
          </w:tcPr>
          <w:p>
            <w:r>
              <w:t>7.4%</w:t>
            </w:r>
          </w:p>
        </w:tc>
        <w:tc>
          <w:tcPr>
            <w:tcW w:w="2400" w:type="dxa"/>
          </w:tcPr>
          <w:p>
            <w:r>
              <w:t>7.7%</w:t>
            </w:r>
          </w:p>
        </w:tc>
        <w:tc>
          <w:tcPr>
            <w:tcW w:w="2400" w:type="dxa"/>
          </w:tcPr>
          <w:p>
            <w:r>
              <w:t>1.23</w:t>
            </w:r>
          </w:p>
        </w:tc>
        <w:tc>
          <w:tcPr>
            <w:tcW w:w="2400" w:type="dxa"/>
          </w:tcPr>
          <w:p>
            <w:r>
              <w:t>1.06</w:t>
            </w:r>
          </w:p>
        </w:tc>
        <w:tc>
          <w:tcPr>
            <w:tcW w:w="2400" w:type="dxa"/>
          </w:tcPr>
          <w:p>
            <w:r>
              <w:t>样本外仍为正，但需要过滤低质量交易。</w:t>
            </w:r>
          </w:p>
        </w:tc>
      </w:tr>
      <w:tr>
        <w:tc>
          <w:tcPr>
            <w:tcW w:w="2400" w:type="dxa"/>
          </w:tcPr>
          <w:p>
            <w:r>
              <w:t>策略J</w:t>
            </w:r>
          </w:p>
        </w:tc>
        <w:tc>
          <w:tcPr>
            <w:tcW w:w="2400" w:type="dxa"/>
          </w:tcPr>
          <w:p>
            <w:r>
              <w:t>基础价格行为基线</w:t>
            </w:r>
          </w:p>
        </w:tc>
        <w:tc>
          <w:tcPr>
            <w:tcW w:w="2400" w:type="dxa"/>
          </w:tcPr>
          <w:p>
            <w:r>
              <w:t>冻结研究</w:t>
            </w:r>
          </w:p>
        </w:tc>
        <w:tc>
          <w:tcPr>
            <w:tcW w:w="2400" w:type="dxa"/>
          </w:tcPr>
          <w:p>
            <w:r>
              <w:t>2.8%</w:t>
            </w:r>
          </w:p>
        </w:tc>
        <w:tc>
          <w:tcPr>
            <w:tcW w:w="2400" w:type="dxa"/>
          </w:tcPr>
          <w:p>
            <w:r>
              <w:t>13.4%</w:t>
            </w:r>
          </w:p>
        </w:tc>
        <w:tc>
          <w:tcPr>
            <w:tcW w:w="2400" w:type="dxa"/>
          </w:tcPr>
          <w:p>
            <w:r>
              <w:t>1.06</w:t>
            </w:r>
          </w:p>
        </w:tc>
        <w:tc>
          <w:tcPr>
            <w:tcW w:w="2400" w:type="dxa"/>
          </w:tcPr>
          <w:p>
            <w:r>
              <w:t>0.22</w:t>
            </w:r>
          </w:p>
        </w:tc>
        <w:tc>
          <w:tcPr>
            <w:tcW w:w="2400" w:type="dxa"/>
          </w:tcPr>
          <w:p>
            <w:r>
              <w:t>有微弱正收益，风险收益比不足，暂不加大投入。</w:t>
            </w:r>
          </w:p>
        </w:tc>
      </w:tr>
      <w:tr>
        <w:tc>
          <w:tcPr>
            <w:tcW w:w="2400" w:type="dxa"/>
          </w:tcPr>
          <w:p>
            <w:r>
              <w:t>策略K</w:t>
            </w:r>
          </w:p>
        </w:tc>
        <w:tc>
          <w:tcPr>
            <w:tcW w:w="2400" w:type="dxa"/>
          </w:tcPr>
          <w:p>
            <w:r>
              <w:t>横截面动量候选</w:t>
            </w:r>
          </w:p>
        </w:tc>
        <w:tc>
          <w:tcPr>
            <w:tcW w:w="2400" w:type="dxa"/>
          </w:tcPr>
          <w:p>
            <w:r>
              <w:t>冻结研究</w:t>
            </w:r>
          </w:p>
        </w:tc>
        <w:tc>
          <w:tcPr>
            <w:tcW w:w="2400" w:type="dxa"/>
          </w:tcPr>
          <w:p>
            <w:r>
              <w:t>-4.6%</w:t>
            </w:r>
          </w:p>
        </w:tc>
        <w:tc>
          <w:tcPr>
            <w:tcW w:w="2400" w:type="dxa"/>
          </w:tcPr>
          <w:p>
            <w:r>
              <w:t>10.9%</w:t>
            </w:r>
          </w:p>
        </w:tc>
        <w:tc>
          <w:tcPr>
            <w:tcW w:w="2400" w:type="dxa"/>
          </w:tcPr>
          <w:p>
            <w:r>
              <w:t>0.82</w:t>
            </w:r>
          </w:p>
        </w:tc>
        <w:tc>
          <w:tcPr>
            <w:tcW w:w="2400" w:type="dxa"/>
          </w:tcPr>
          <w:p>
            <w:r>
              <w:t>-0.38</w:t>
            </w:r>
          </w:p>
        </w:tc>
        <w:tc>
          <w:tcPr>
            <w:tcW w:w="2400" w:type="dxa"/>
          </w:tcPr>
          <w:p>
            <w:r>
              <w:t>样本外为负，保留为失败样本。</w:t>
            </w:r>
          </w:p>
        </w:tc>
      </w:tr>
      <w:tr>
        <w:tc>
          <w:tcPr>
            <w:tcW w:w="2400" w:type="dxa"/>
          </w:tcPr>
          <w:p>
            <w:r>
              <w:t>策略L</w:t>
            </w:r>
          </w:p>
        </w:tc>
        <w:tc>
          <w:tcPr>
            <w:tcW w:w="2400" w:type="dxa"/>
          </w:tcPr>
          <w:p>
            <w:r>
              <w:t>结构形态候选</w:t>
            </w:r>
          </w:p>
        </w:tc>
        <w:tc>
          <w:tcPr>
            <w:tcW w:w="2400" w:type="dxa"/>
          </w:tcPr>
          <w:p>
            <w:r>
              <w:t>冻结研究</w:t>
            </w:r>
          </w:p>
        </w:tc>
        <w:tc>
          <w:tcPr>
            <w:tcW w:w="2400" w:type="dxa"/>
          </w:tcPr>
          <w:p>
            <w:r>
              <w:t>-8.0%</w:t>
            </w:r>
          </w:p>
        </w:tc>
        <w:tc>
          <w:tcPr>
            <w:tcW w:w="2400" w:type="dxa"/>
          </w:tcPr>
          <w:p>
            <w:r>
              <w:t>15.0%</w:t>
            </w:r>
          </w:p>
        </w:tc>
        <w:tc>
          <w:tcPr>
            <w:tcW w:w="2400" w:type="dxa"/>
          </w:tcPr>
          <w:p>
            <w:r>
              <w:t>0.88</w:t>
            </w:r>
          </w:p>
        </w:tc>
        <w:tc>
          <w:tcPr>
            <w:tcW w:w="2400" w:type="dxa"/>
          </w:tcPr>
          <w:p>
            <w:r>
              <w:t>-0.50</w:t>
            </w:r>
          </w:p>
        </w:tc>
        <w:tc>
          <w:tcPr>
            <w:tcW w:w="2400" w:type="dxa"/>
          </w:tcPr>
          <w:p>
            <w:r>
              <w:t>回撤和收益均不达标，进入归档复盘。</w:t>
            </w:r>
          </w:p>
        </w:tc>
      </w:tr>
      <w:tr>
        <w:tc>
          <w:tcPr>
            <w:tcW w:w="2400" w:type="dxa"/>
          </w:tcPr>
          <w:p>
            <w:r>
              <w:t>策略M</w:t>
            </w:r>
          </w:p>
        </w:tc>
        <w:tc>
          <w:tcPr>
            <w:tcW w:w="2400" w:type="dxa"/>
          </w:tcPr>
          <w:p>
            <w:r>
              <w:t>日内价格行为变体</w:t>
            </w:r>
          </w:p>
        </w:tc>
        <w:tc>
          <w:tcPr>
            <w:tcW w:w="2400" w:type="dxa"/>
          </w:tcPr>
          <w:p>
            <w:r>
              <w:t>关闭/失败线</w:t>
            </w:r>
          </w:p>
        </w:tc>
        <w:tc>
          <w:tcPr>
            <w:tcW w:w="2400" w:type="dxa"/>
          </w:tcPr>
          <w:p>
            <w:r>
              <w:t>2.8%</w:t>
            </w:r>
          </w:p>
        </w:tc>
        <w:tc>
          <w:tcPr>
            <w:tcW w:w="2400" w:type="dxa"/>
          </w:tcPr>
          <w:p>
            <w:r>
              <w:t>13.4%</w:t>
            </w:r>
          </w:p>
        </w:tc>
        <w:tc>
          <w:tcPr>
            <w:tcW w:w="2400" w:type="dxa"/>
          </w:tcPr>
          <w:p>
            <w:r>
              <w:t>1.06</w:t>
            </w:r>
          </w:p>
        </w:tc>
        <w:tc>
          <w:tcPr>
            <w:tcW w:w="2400" w:type="dxa"/>
          </w:tcPr>
          <w:p>
            <w:r>
              <w:t>0.22</w:t>
            </w:r>
          </w:p>
        </w:tc>
        <w:tc>
          <w:tcPr>
            <w:tcW w:w="2400" w:type="dxa"/>
          </w:tcPr>
          <w:p>
            <w:r>
              <w:t>与基础线重复度高，收益质量不足。</w:t>
            </w:r>
          </w:p>
        </w:tc>
      </w:tr>
      <w:tr>
        <w:tc>
          <w:tcPr>
            <w:tcW w:w="2400" w:type="dxa"/>
          </w:tcPr>
          <w:p>
            <w:r>
              <w:t>策略N</w:t>
            </w:r>
          </w:p>
        </w:tc>
        <w:tc>
          <w:tcPr>
            <w:tcW w:w="2400" w:type="dxa"/>
          </w:tcPr>
          <w:p>
            <w:r>
              <w:t>资金费率/流向候选</w:t>
            </w:r>
          </w:p>
        </w:tc>
        <w:tc>
          <w:tcPr>
            <w:tcW w:w="2400" w:type="dxa"/>
          </w:tcPr>
          <w:p>
            <w:r>
              <w:t>关闭/失败线</w:t>
            </w:r>
          </w:p>
        </w:tc>
        <w:tc>
          <w:tcPr>
            <w:tcW w:w="2400" w:type="dxa"/>
          </w:tcPr>
          <w:p>
            <w:r>
              <w:t>-37.2%</w:t>
            </w:r>
          </w:p>
        </w:tc>
        <w:tc>
          <w:tcPr>
            <w:tcW w:w="2400" w:type="dxa"/>
          </w:tcPr>
          <w:p>
            <w:r>
              <w:t>36.9%</w:t>
            </w:r>
          </w:p>
        </w:tc>
        <w:tc>
          <w:tcPr>
            <w:tcW w:w="2400" w:type="dxa"/>
          </w:tcPr>
          <w:p>
            <w:r>
              <w:t>0.30</w:t>
            </w:r>
          </w:p>
        </w:tc>
        <w:tc>
          <w:tcPr>
            <w:tcW w:w="2400" w:type="dxa"/>
          </w:tcPr>
          <w:p>
            <w:r>
              <w:t>-0.55</w:t>
            </w:r>
          </w:p>
        </w:tc>
        <w:tc>
          <w:tcPr>
            <w:tcW w:w="2400" w:type="dxa"/>
          </w:tcPr>
          <w:p>
            <w:r>
              <w:t>样本外亏损显著，作为停止投入依据。</w:t>
            </w:r>
          </w:p>
        </w:tc>
      </w:tr>
      <w:tr>
        <w:tc>
          <w:tcPr>
            <w:tcW w:w="2400" w:type="dxa"/>
          </w:tcPr>
          <w:p>
            <w:r>
              <w:t>策略O</w:t>
            </w:r>
          </w:p>
        </w:tc>
        <w:tc>
          <w:tcPr>
            <w:tcW w:w="2400" w:type="dxa"/>
          </w:tcPr>
          <w:p>
            <w:r>
              <w:t>短空战术候选</w:t>
            </w:r>
          </w:p>
        </w:tc>
        <w:tc>
          <w:tcPr>
            <w:tcW w:w="2400" w:type="dxa"/>
          </w:tcPr>
          <w:p>
            <w:r>
              <w:t>关闭/失败线</w:t>
            </w:r>
          </w:p>
        </w:tc>
        <w:tc>
          <w:tcPr>
            <w:tcW w:w="2400" w:type="dxa"/>
          </w:tcPr>
          <w:p>
            <w:r>
              <w:t>2.5%</w:t>
            </w:r>
          </w:p>
        </w:tc>
        <w:tc>
          <w:tcPr>
            <w:tcW w:w="2400" w:type="dxa"/>
          </w:tcPr>
          <w:p>
            <w:r>
              <w:t>4.2%</w:t>
            </w:r>
          </w:p>
        </w:tc>
        <w:tc>
          <w:tcPr>
            <w:tcW w:w="2400" w:type="dxa"/>
          </w:tcPr>
          <w:p>
            <w:r>
              <w:t>1.28</w:t>
            </w:r>
          </w:p>
        </w:tc>
        <w:tc>
          <w:tcPr>
            <w:tcW w:w="2400" w:type="dxa"/>
          </w:tcPr>
          <w:p>
            <w:r>
              <w:t>0.66</w:t>
            </w:r>
          </w:p>
        </w:tc>
        <w:tc>
          <w:tcPr>
            <w:tcW w:w="2400" w:type="dxa"/>
          </w:tcPr>
          <w:p>
            <w:r>
              <w:t>回撤小但收益体量不足，不作为主线。</w:t>
            </w:r>
          </w:p>
        </w:tc>
      </w:tr>
      <w:tr>
        <w:tc>
          <w:tcPr>
            <w:tcW w:w="2400" w:type="dxa"/>
          </w:tcPr>
          <w:p>
            <w:r>
              <w:t>策略P</w:t>
            </w:r>
          </w:p>
        </w:tc>
        <w:tc>
          <w:tcPr>
            <w:tcW w:w="2400" w:type="dxa"/>
          </w:tcPr>
          <w:p>
            <w:r>
              <w:t>空头基线候选</w:t>
            </w:r>
          </w:p>
        </w:tc>
        <w:tc>
          <w:tcPr>
            <w:tcW w:w="2400" w:type="dxa"/>
          </w:tcPr>
          <w:p>
            <w:r>
              <w:t>关闭/失败线</w:t>
            </w:r>
          </w:p>
        </w:tc>
        <w:tc>
          <w:tcPr>
            <w:tcW w:w="2400" w:type="dxa"/>
          </w:tcPr>
          <w:p>
            <w:r>
              <w:t>-8.9%</w:t>
            </w:r>
          </w:p>
        </w:tc>
        <w:tc>
          <w:tcPr>
            <w:tcW w:w="2400" w:type="dxa"/>
          </w:tcPr>
          <w:p>
            <w:r>
              <w:t>12.0%</w:t>
            </w:r>
          </w:p>
        </w:tc>
        <w:tc>
          <w:tcPr>
            <w:tcW w:w="2400" w:type="dxa"/>
          </w:tcPr>
          <w:p>
            <w:r>
              <w:t>0.60</w:t>
            </w:r>
          </w:p>
        </w:tc>
        <w:tc>
          <w:tcPr>
            <w:tcW w:w="2400" w:type="dxa"/>
          </w:tcPr>
          <w:p>
            <w:r>
              <w:t>-0.58</w:t>
            </w:r>
          </w:p>
        </w:tc>
        <w:tc>
          <w:tcPr>
            <w:tcW w:w="2400" w:type="dxa"/>
          </w:tcPr>
          <w:p>
            <w:r>
              <w:t>收益和 PF 均未达标，停止继续扩展。</w:t>
            </w:r>
          </w:p>
        </w:tc>
      </w:tr>
    </w:tbl>
    <w:p>
      <w:r>
        <w:t>这里没有强行补写夏普值，是因为部分归档只有净值摘要和评分结果，没有完整逐笔净值重新计算口径。报告先使用 PF 与 Q 分保证可复核；若下一轮需要正式投资评审，可再用同一净值序列重算 Sharpe、Sortino、PSR/DSR。</w:t>
      </w:r>
    </w:p>
    <w:p>
      <w:pPr>
        <w:spacing w:after="140" w:line="360"/>
        <w:jc w:val="both"/>
      </w:pPr>
      <w:r>
        <w:t>本期量化主线从“具备可执行能力”进入“多路线筛选”。树模型元标签、轻量 CNN/LSTM 表征、直接方向预测、三重障碍标签、强化学习执行雏形和规则基线被放在同一套证据口径下比较。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路径 A:可解释因子与元标签模型。使用价量、波动、趋势、成交量、结构等特征训练轻量模型，若样本外或折外指标不稳定，则只保留为研究线索。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路径 B:Sequence Model 与表征学习。用分钟/小时级序列训练 CNN/LSTM/表征模型，部分实验的折外 AUC 达到可继续观察区间，但仍按研究指标处理，不表述为收益证明。</w:t>
      </w:r>
    </w:p>
    <w:p>
      <w:pPr>
        <w:spacing w:after="140" w:line="360"/>
        <w:jc w:val="both"/>
      </w:pPr>
      <w:r>
        <w:t>迭代节奏:多条研究线以两周一轮复盘，重点看 OOS 衰减、交易数、回撤、污染风险和失败原因。能解释的失败同样作为交付物归档，避免重复消耗算力。</w:t>
      </w:r>
    </w:p>
    <w:p>
      <w:pPr>
        <w:pStyle w:val="Heading2"/>
        <w:spacing w:after="120" w:before="260"/>
      </w:pPr>
      <w:r>
        <w:t>3.2 NLP 与另类数据(4 台)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文本与 LLM 方向以“辅助决策和质量门禁”为主，不直接替代交易逻辑。研究内容包括公告/新闻/摘要类文本特征、LLM 日内决策记录、交易形态/交易时段标签和离线质量门控。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情绪与事件因子:当前更适合作为研究候选和诊断字段，用于解释纸面交易来源、拒绝原因和不同市场状态下的表现差异。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Embedding 服务:本期未按生产服务口径验收，主要沉淀为文本向量、日志摘要和事件样本，供后续筛选与归因使用。</w:t>
      </w:r>
    </w:p>
    <w:p>
      <w:pPr>
        <w:pStyle w:val="Heading2"/>
        <w:spacing w:after="120" w:before="260"/>
      </w:pPr>
      <w:r>
        <w:t>3.3 回测与组合优化(3 台)</w:t>
      </w:r>
    </w:p>
    <w:p>
      <w:r>
        <w:rPr>
          <w:b/>
        </w:rPr>
        <w:t>机器学习与因子产出</w:t>
      </w:r>
    </w:p>
    <w:p>
      <w:r>
        <w:t>机器学习的算力消耗主要来自三类任务：第一类是大样本 CNN/LSTM 表征学习，第二类是树模型元标签和参数扫描，第三类是执行/RL 原型。模型目录总归档约 61MB，其中参数扫描目录约 47MB，根目录模型与预测缓存约 14MB；包含 8 个 joblib 树模型、4 个 PyTorch 权重、3 个 pkl 工件、2 个 PPO 压缩包、2 个 parquet 预测缓存和 20 个 JSON/摘要文件。</w:t>
      </w:r>
    </w:p>
    <w:tbl>
      <w:tblPr>
        <w:tblStyle w:val="TableGrid"/>
        <w:tblW w:w="0" w:type="auto"/>
        <w:tblLook w:val="04A0"/>
      </w:tblPr>
      <w:tblGrid>
        <w:gridCol w:w="1800"/>
        <w:gridCol w:w="1800"/>
        <w:gridCol w:w="1800"/>
        <w:gridCol w:w="1800"/>
      </w:tblGrid>
      <w:tr>
        <w:tc>
          <w:tcPr>
            <w:tcW w:w="2400" w:type="dxa"/>
          </w:tcPr>
          <w:p>
            <w:r>
              <w:rPr>
                <w:b/>
              </w:rPr>
              <w:t>模型/实验</w:t>
            </w:r>
          </w:p>
        </w:tc>
        <w:tc>
          <w:tcPr>
            <w:tcW w:w="2400" w:type="dxa"/>
          </w:tcPr>
          <w:p>
            <w:r>
              <w:rPr>
                <w:b/>
              </w:rPr>
              <w:t>样本规模</w:t>
            </w:r>
          </w:p>
        </w:tc>
        <w:tc>
          <w:tcPr>
            <w:tcW w:w="2400" w:type="dxa"/>
          </w:tcPr>
          <w:p>
            <w:r>
              <w:rPr>
                <w:b/>
              </w:rPr>
              <w:t>折外指标</w:t>
            </w:r>
          </w:p>
        </w:tc>
        <w:tc>
          <w:tcPr>
            <w:tcW w:w="2400" w:type="dxa"/>
          </w:tcPr>
          <w:p>
            <w:r>
              <w:rPr>
                <w:b/>
              </w:rPr>
              <w:t>结论</w:t>
            </w:r>
          </w:p>
        </w:tc>
      </w:tr>
      <w:tr>
        <w:tc>
          <w:tcPr>
            <w:tcW w:w="2400" w:type="dxa"/>
          </w:tcPr>
          <w:p>
            <w:r>
              <w:t>LSTM 表征 + 树模型</w:t>
            </w:r>
          </w:p>
        </w:tc>
        <w:tc>
          <w:tcPr>
            <w:tcW w:w="2400" w:type="dxa"/>
          </w:tcPr>
          <w:p>
            <w:r>
              <w:t>428,345 条序列，30 epoch</w:t>
            </w:r>
          </w:p>
        </w:tc>
        <w:tc>
          <w:tcPr>
            <w:tcW w:w="2400" w:type="dxa"/>
          </w:tcPr>
          <w:p>
            <w:r>
              <w:t>折外 AUC 0.7465</w:t>
            </w:r>
          </w:p>
        </w:tc>
        <w:tc>
          <w:tcPr>
            <w:tcW w:w="2400" w:type="dxa"/>
          </w:tcPr>
          <w:p>
            <w:r>
              <w:t>当前最有解释价值的机器学习分支。</w:t>
            </w:r>
          </w:p>
        </w:tc>
      </w:tr>
      <w:tr>
        <w:tc>
          <w:tcPr>
            <w:tcW w:w="2400" w:type="dxa"/>
          </w:tcPr>
          <w:p>
            <w:r>
              <w:t>15 分钟预测缓存</w:t>
            </w:r>
          </w:p>
        </w:tc>
        <w:tc>
          <w:tcPr>
            <w:tcW w:w="2400" w:type="dxa"/>
          </w:tcPr>
          <w:p>
            <w:r>
              <w:t>27,314 个信号事件，21,850 行缓存</w:t>
            </w:r>
          </w:p>
        </w:tc>
        <w:tc>
          <w:tcPr>
            <w:tcW w:w="2400" w:type="dxa"/>
          </w:tcPr>
          <w:p>
            <w:r>
              <w:t>折外 AUC 0.6998</w:t>
            </w:r>
          </w:p>
        </w:tc>
        <w:tc>
          <w:tcPr>
            <w:tcW w:w="2400" w:type="dxa"/>
          </w:tcPr>
          <w:p>
            <w:r>
              <w:t>可作为元标签和过滤器继续观察。</w:t>
            </w:r>
          </w:p>
        </w:tc>
      </w:tr>
      <w:tr>
        <w:tc>
          <w:tcPr>
            <w:tcW w:w="2400" w:type="dxa"/>
          </w:tcPr>
          <w:p>
            <w:r>
              <w:t>4 小时元标签</w:t>
            </w:r>
          </w:p>
        </w:tc>
        <w:tc>
          <w:tcPr>
            <w:tcW w:w="2400" w:type="dxa"/>
          </w:tcPr>
          <w:p>
            <w:r>
              <w:t>2,826 个信号事件</w:t>
            </w:r>
          </w:p>
        </w:tc>
        <w:tc>
          <w:tcPr>
            <w:tcW w:w="2400" w:type="dxa"/>
          </w:tcPr>
          <w:p>
            <w:r>
              <w:t>折外 AUC 0.6852</w:t>
            </w:r>
          </w:p>
        </w:tc>
        <w:tc>
          <w:tcPr>
            <w:tcW w:w="2400" w:type="dxa"/>
          </w:tcPr>
          <w:p>
            <w:r>
              <w:t>样本较少但信号质量可继续复核。</w:t>
            </w:r>
          </w:p>
        </w:tc>
      </w:tr>
      <w:tr>
        <w:tc>
          <w:tcPr>
            <w:tcW w:w="2400" w:type="dxa"/>
          </w:tcPr>
          <w:p>
            <w:r>
              <w:t>15 分钟元标签树模型</w:t>
            </w:r>
          </w:p>
        </w:tc>
        <w:tc>
          <w:tcPr>
            <w:tcW w:w="2400" w:type="dxa"/>
          </w:tcPr>
          <w:p>
            <w:r>
              <w:t>28,215 个事件，22 个特征</w:t>
            </w:r>
          </w:p>
        </w:tc>
        <w:tc>
          <w:tcPr>
            <w:tcW w:w="2400" w:type="dxa"/>
          </w:tcPr>
          <w:p>
            <w:r>
              <w:t>折外 AUC 0.6830</w:t>
            </w:r>
          </w:p>
        </w:tc>
        <w:tc>
          <w:tcPr>
            <w:tcW w:w="2400" w:type="dxa"/>
          </w:tcPr>
          <w:p>
            <w:r>
              <w:t>特征解释性较好，适合做门控。</w:t>
            </w:r>
          </w:p>
        </w:tc>
      </w:tr>
      <w:tr>
        <w:tc>
          <w:tcPr>
            <w:tcW w:w="2400" w:type="dxa"/>
          </w:tcPr>
          <w:p>
            <w:r>
              <w:t>15 分钟 FastCNN</w:t>
            </w:r>
          </w:p>
        </w:tc>
        <w:tc>
          <w:tcPr>
            <w:tcW w:w="2400" w:type="dxa"/>
          </w:tcPr>
          <w:p>
            <w:r>
              <w:t>474,865 个样本，80 epoch</w:t>
            </w:r>
          </w:p>
        </w:tc>
        <w:tc>
          <w:tcPr>
            <w:tcW w:w="2400" w:type="dxa"/>
          </w:tcPr>
          <w:p>
            <w:r>
              <w:t>折外 AUC 0.6717</w:t>
            </w:r>
          </w:p>
        </w:tc>
        <w:tc>
          <w:tcPr>
            <w:tcW w:w="2400" w:type="dxa"/>
          </w:tcPr>
          <w:p>
            <w:r>
              <w:t>消耗样本量大，指标进入观察区间。</w:t>
            </w:r>
          </w:p>
        </w:tc>
      </w:tr>
      <w:tr>
        <w:tc>
          <w:tcPr>
            <w:tcW w:w="2400" w:type="dxa"/>
          </w:tcPr>
          <w:p>
            <w:r>
              <w:t>1 小时元标签变体</w:t>
            </w:r>
          </w:p>
        </w:tc>
        <w:tc>
          <w:tcPr>
            <w:tcW w:w="2400" w:type="dxa"/>
          </w:tcPr>
          <w:p>
            <w:r>
              <w:t>7,695 个事件，7-9 个特征</w:t>
            </w:r>
          </w:p>
        </w:tc>
        <w:tc>
          <w:tcPr>
            <w:tcW w:w="2400" w:type="dxa"/>
          </w:tcPr>
          <w:p>
            <w:r>
              <w:t>最高折外 AUC 0.6335</w:t>
            </w:r>
          </w:p>
        </w:tc>
        <w:tc>
          <w:tcPr>
            <w:tcW w:w="2400" w:type="dxa"/>
          </w:tcPr>
          <w:p>
            <w:r>
              <w:t>能提供辅助信号，但不单独作为收益依据。</w:t>
            </w:r>
          </w:p>
        </w:tc>
      </w:tr>
      <w:tr>
        <w:tc>
          <w:tcPr>
            <w:tcW w:w="2400" w:type="dxa"/>
          </w:tcPr>
          <w:p>
            <w:r>
              <w:t>三重障碍标签</w:t>
            </w:r>
          </w:p>
        </w:tc>
        <w:tc>
          <w:tcPr>
            <w:tcW w:w="2400" w:type="dxa"/>
          </w:tcPr>
          <w:p>
            <w:r>
              <w:t>14 个交易对，14 个特征</w:t>
            </w:r>
          </w:p>
        </w:tc>
        <w:tc>
          <w:tcPr>
            <w:tcW w:w="2400" w:type="dxa"/>
          </w:tcPr>
          <w:p>
            <w:r>
              <w:t>准确率 0.4464，低于随机基线 0.4542</w:t>
            </w:r>
          </w:p>
        </w:tc>
        <w:tc>
          <w:tcPr>
            <w:tcW w:w="2400" w:type="dxa"/>
          </w:tcPr>
          <w:p>
            <w:r>
              <w:t>作为停止继续投入的负面证据。</w:t>
            </w:r>
          </w:p>
        </w:tc>
      </w:tr>
    </w:tbl>
    <w:p>
      <w:r>
        <w:t>因子方面共沉淀 44 个去重字段，分为趋势类、波动类、量能类、价格位置类、收益滞后类、形态/影线类和分数差分类。普通理解上，这些因子就是把“涨得快不快、波动大不大、成交量是否异常、价格处在通道什么位置、最近几根K线形态是否健康”变成模型能读的数字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回测框架升级:围绕样本内/样本外、walk-forward、PSR/DSR、成本模型、滑点、压力测试和失败分支归档做了系统化补强。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组合优化器选型:研究侧已覆盖风险平价、分层风险、组合相关性、资金费率/基差/跨所/统计/三角等套利家族的比较，但现阶段结论仍是研究分流，不进入生产承诺。</w:t>
      </w:r>
    </w:p>
    <w:p>
      <w:pPr>
        <w:pStyle w:val="Heading2"/>
        <w:spacing w:after="120" w:before="260"/>
      </w:pPr>
      <w:r>
        <w:t>3.4 量化研究交付物与验收标准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500"/>
        <w:gridCol w:w="4126"/>
      </w:tblGrid>
      <w:tr>
        <w:trPr>
          <w:tblHeader/>
        </w:trP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归属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交付物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验收标准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候选研究证据池 v1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覆盖规则、元标签、时序、RL/执行、套利和日内纸面方向；保留失败原因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文本/LLM 研究样本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形成决策日志、交易形态/交易时段标签、拒绝原因和质量门控样本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样本外治理体系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IS/OOS、walk-forward、PSR/DSR、污染分层和 模拟盘门禁 有文档与脚本入口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回测与组合对比报告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同一口径比较收益、回撤、交易数、成本、滑点和样本完整性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量化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停止投入清单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样本不足、样本外为负、证据缺失或污染严重的分支明确阻断</w:t>
            </w:r>
          </w:p>
        </w:tc>
      </w:tr>
    </w:tbl>
    <w:p>
      <w:pPr>
        <w:pStyle w:val="Heading1"/>
        <w:spacing w:after="180" w:before="360"/>
      </w:pPr>
      <w:r>
        <w:t>四、生图模型与演示系统任务</w:t>
      </w:r>
    </w:p>
    <w:p>
      <w:pPr>
        <w:pStyle w:val="Heading2"/>
        <w:spacing w:after="120" w:before="260"/>
      </w:pPr>
      <w:r>
        <w:t>4.1 垂类 LoRA 微调(4 台)</w:t>
      </w:r>
    </w:p>
    <w:p>
      <w:r>
        <w:rPr>
          <w:b/>
        </w:rPr>
        <w:t>生图产品与模型演化补充</w:t>
      </w:r>
    </w:p>
    <w:p>
      <w:r>
        <w:t>第二期生图侧从“能生成一张图”推进到“能让内部用户按模板、自由提示词、参考图、多图故事和历史记录完成一次完整任务”。底层仍是自训练模型，通过 OpenAI 兼容接口接入；工程侧把生成、编辑、参考图能力、超时、重试、退款和下载统一到同一套任务表中。</w:t>
      </w:r>
    </w:p>
    <w:tbl>
      <w:tblPr>
        <w:tblStyle w:val="TableGrid"/>
        <w:tblW w:w="0" w:type="auto"/>
        <w:tblLook w:val="04A0"/>
      </w:tblPr>
      <w:tblGrid>
        <w:gridCol w:w="1800"/>
        <w:gridCol w:w="1800"/>
        <w:gridCol w:w="1800"/>
      </w:tblGrid>
      <w:tr>
        <w:tc>
          <w:tcPr>
            <w:tcW w:w="2400" w:type="dxa"/>
          </w:tcPr>
          <w:p>
            <w:r>
              <w:rPr>
                <w:b/>
              </w:rPr>
              <w:t>能力模块</w:t>
            </w:r>
          </w:p>
        </w:tc>
        <w:tc>
          <w:tcPr>
            <w:tcW w:w="2400" w:type="dxa"/>
          </w:tcPr>
          <w:p>
            <w:r>
              <w:rPr>
                <w:b/>
              </w:rPr>
              <w:t>进展</w:t>
            </w:r>
          </w:p>
        </w:tc>
        <w:tc>
          <w:tcPr>
            <w:tcW w:w="2400" w:type="dxa"/>
          </w:tcPr>
          <w:p>
            <w:r>
              <w:rPr>
                <w:b/>
              </w:rPr>
              <w:t>算力/成本说明</w:t>
            </w:r>
          </w:p>
        </w:tc>
      </w:tr>
      <w:tr>
        <w:tc>
          <w:tcPr>
            <w:tcW w:w="2400" w:type="dxa"/>
          </w:tcPr>
          <w:p>
            <w:r>
              <w:t>模板与自由提示词</w:t>
            </w:r>
          </w:p>
        </w:tc>
        <w:tc>
          <w:tcPr>
            <w:tcW w:w="2400" w:type="dxa"/>
          </w:tcPr>
          <w:p>
            <w:r>
              <w:t>已支持模板变量、自由提示词、生成历史和结果下载；模板库归档 5,608 条。</w:t>
            </w:r>
          </w:p>
        </w:tc>
        <w:tc>
          <w:tcPr>
            <w:tcW w:w="2400" w:type="dxa"/>
          </w:tcPr>
          <w:p>
            <w:r>
              <w:t>主要消耗在自训练模型推理、模板批量验证和前端链路验收。</w:t>
            </w:r>
          </w:p>
        </w:tc>
      </w:tr>
      <w:tr>
        <w:tc>
          <w:tcPr>
            <w:tcW w:w="2400" w:type="dxa"/>
          </w:tcPr>
          <w:p>
            <w:r>
              <w:t>参考图与编辑</w:t>
            </w:r>
          </w:p>
        </w:tc>
        <w:tc>
          <w:tcPr>
            <w:tcW w:w="2400" w:type="dxa"/>
          </w:tcPr>
          <w:p>
            <w:r>
              <w:t>通过 OpenAI 兼容 edits 路径接入参考图；能力分 supported/unsupported/unknown 三态。</w:t>
            </w:r>
          </w:p>
        </w:tc>
        <w:tc>
          <w:tcPr>
            <w:tcW w:w="2400" w:type="dxa"/>
          </w:tcPr>
          <w:p>
            <w:r>
              <w:t>unknown 不发送付费参考图任务，避免无效算力消耗。</w:t>
            </w:r>
          </w:p>
        </w:tc>
      </w:tr>
      <w:tr>
        <w:tc>
          <w:tcPr>
            <w:tcW w:w="2400" w:type="dxa"/>
          </w:tcPr>
          <w:p>
            <w:r>
              <w:t>多图与故事任务</w:t>
            </w:r>
          </w:p>
        </w:tc>
        <w:tc>
          <w:tcPr>
            <w:tcW w:w="2400" w:type="dxa"/>
          </w:tcPr>
          <w:p>
            <w:r>
              <w:t>支持多图顺序执行、前序失败阻断和上一张成功图作为连续性参考。</w:t>
            </w:r>
          </w:p>
        </w:tc>
        <w:tc>
          <w:tcPr>
            <w:tcW w:w="2400" w:type="dxa"/>
          </w:tcPr>
          <w:p>
            <w:r>
              <w:t>牺牲部分并发，换取可追账和画面一致性。</w:t>
            </w:r>
          </w:p>
        </w:tc>
      </w:tr>
      <w:tr>
        <w:tc>
          <w:tcPr>
            <w:tcW w:w="2400" w:type="dxa"/>
          </w:tcPr>
          <w:p>
            <w:r>
              <w:t>成本与额度治理</w:t>
            </w:r>
          </w:p>
        </w:tc>
        <w:tc>
          <w:tcPr>
            <w:tcW w:w="2400" w:type="dxa"/>
          </w:tcPr>
          <w:p>
            <w:r>
              <w:t>生成前估价、预扣额度；失败、超时或结果不确定时记录审计并退款或转可重试。</w:t>
            </w:r>
          </w:p>
        </w:tc>
        <w:tc>
          <w:tcPr>
            <w:tcW w:w="2400" w:type="dxa"/>
          </w:tcPr>
          <w:p>
            <w:r>
              <w:t>把每次模型调用和额度变化都留在账本中。</w:t>
            </w:r>
          </w:p>
        </w:tc>
      </w:tr>
      <w:tr>
        <w:tc>
          <w:tcPr>
            <w:tcW w:w="2400" w:type="dxa"/>
          </w:tcPr>
          <w:p>
            <w:r>
              <w:t>公网演示站</w:t>
            </w:r>
          </w:p>
        </w:tc>
        <w:tc>
          <w:tcPr>
            <w:tcW w:w="2400" w:type="dxa"/>
          </w:tcPr>
          <w:p>
            <w:r>
              <w:t>演示地址为 https://fancy-image.duckdns.org，核心页面、生成、历史、下载和管理配置可演示。</w:t>
            </w:r>
          </w:p>
        </w:tc>
        <w:tc>
          <w:tcPr>
            <w:tcW w:w="2400" w:type="dxa"/>
          </w:tcPr>
          <w:p>
            <w:r>
              <w:t>当前定位为内部演示与研究验收，不承诺外部 SLA。</w:t>
            </w:r>
          </w:p>
        </w:tc>
      </w:tr>
    </w:tbl>
    <w:p>
      <w:r>
        <w:t>训练与接入流程上，本轮采用自训练模型产出、兼容接口注册、生成质量抽查、参考图能力验收、演示站回归的顺序推进。系统默认控制模型通道并发，生成接口超时按 10-12 分钟级别治理，避免无限排队消耗算力。</w:t>
      </w:r>
    </w:p>
    <w:p>
      <w:pPr>
        <w:spacing w:after="140" w:line="360"/>
        <w:jc w:val="both"/>
      </w:pPr>
      <w:r>
        <w:t>本期生图主线从单次生成扩展到模板化、多场景和参考图能力治理。实际底层模型为自训练模型，通过 OpenAI 兼容接口接入，报告中按“自研/自训模型推理能力”归类。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商品与模板类生成:围绕模板库、自由提示词、变量替换和历史记录，验证用户从选择模板到下载图片的完整链路。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人像与参考图类生成:对参考图任务采用能力三态控制和容量限制，避免未确认支持时直接消耗付费算力。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产品设计和视觉物料:通过模板目录、分类、收藏和生成历史让演示系统更像可用工具，但仍属于内部演示。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批量与故事类任务:多图任务采用顺序执行和前序失败阻断策略，优先保证一致性与可追账，而不是盲目并发。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训练节奏:本期重点不在宣称模型效果，而在验证自训练模型接入后的超时、并发、失败补偿、成本记录和用户链路。</w:t>
      </w:r>
    </w:p>
    <w:p>
      <w:pPr>
        <w:spacing w:after="140" w:line="360"/>
        <w:jc w:val="both"/>
      </w:pPr>
      <w:r>
        <w:t>4.2 ControlNet 与适配器训练(2 台)</w:t>
      </w:r>
    </w:p>
    <w:p>
      <w:pPr>
        <w:pStyle w:val="Heading2"/>
        <w:spacing w:after="120" w:before="260"/>
      </w:pPr>
      <w:r>
        <w:t>参考图/编辑能力:通过 OpenAI 兼容 edits 路径适配多参考输入，测试 multipart、字段映射、鉴权和服务地址拼接等关键细节。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场景/深度/姿态控制:现阶段作为候选能力预研，是否正式投入取决于真实模型服务通道 成本、失败率和演示系统反馈。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风格适配器:以模板和参考图方式先完成体验闭环联调，后续再决定是否扩展到更重的风格适配训练。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4.3 推理加速与 演示站(1 台 + 共享)</w:t>
      </w:r>
    </w:p>
    <w:p>
      <w:pPr>
        <w:pStyle w:val="Heading2"/>
        <w:spacing w:after="120" w:before="260"/>
      </w:pPr>
      <w:r>
        <w:t>推理加速:通过 模型服务通道 并发上限、10-12 分钟级超时、后台任务处理器 扫描和失败恢复机制控制算力消耗节奏。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服务优化:任务状态包括 待处理、运行中、成功、失败、结果不确定和退款失败，前端不展示虚假进度百分比。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演示站 内部试用版:已部署到 https://fancy-image.duckdns.org，页面可访问；当前定位为演示系统验收，不承诺 7×24 SLA。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4.4 视频生成可行性预研(共享机动卡)</w:t>
      </w:r>
    </w:p>
    <w:p>
      <w:pPr>
        <w:pStyle w:val="Heading2"/>
        <w:spacing w:after="120" w:before="260"/>
      </w:pPr>
      <w:r>
        <w:t>视频方向仅保留为可行性预研。本期没有把视频生成作为正式交付承诺，后续是否投入取决于算力余量、成本和生图演示系统的反馈。</w:t>
      </w:r>
    </w:p>
    <w:p>
      <w:pPr>
        <w:spacing w:after="140" w:line="360"/>
        <w:jc w:val="both"/>
      </w:pPr>
      <w:r>
        <w:t>4.5 生图交付物与验收标准</w:t>
      </w:r>
    </w:p>
    <w:p>
      <w:pPr>
        <w:pStyle w:val="Heading2"/>
        <w:spacing w:after="120" w:before="260"/>
      </w:pPr>
      <w:r>
        <w:t>五、共享基础设施任务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500"/>
        <w:gridCol w:w="4126"/>
      </w:tblGrid>
      <w:tr>
        <w:trPr>
          <w:tblHeader/>
        </w:trP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归属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交付物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验收标准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自训练模型兼容接口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覆盖 generations/edits 路径、鉴权、服务地址、质量映射和响应解析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参考图与多输入能力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支持图片/文本资料绑定；unknown 能力不发送付费参考图任务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成本治理闭环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估价、预扣、模型服务调用记录、cost estimate、失败退款和重试规则齐备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演示站 内部试用版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https://fancy-image.duckdns.org 可访问；当前定位为内部演示验收</w:t>
            </w:r>
          </w:p>
        </w:tc>
      </w:tr>
      <w:tr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生图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视频生成预研说明</w:t>
            </w:r>
          </w:p>
        </w:tc>
        <w:tc>
          <w:tcPr>
            <w:tcW w:type="dxa" w:w="4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t>只给出是否继续投入的建议，不作为本期正式产出承诺</w:t>
            </w:r>
          </w:p>
        </w:tc>
      </w:tr>
    </w:tbl>
    <w:p>
      <w:pPr>
        <w:pStyle w:val="Heading1"/>
        <w:spacing w:after="180" w:before="360"/>
      </w:pPr>
      <w:r>
        <w:t>第一期的基础设施在本期接受第一次规模化压力测试，主要任务是把消耗留痕、失败留痕和真实/模拟通道边界做扎实。</w:t>
      </w:r>
    </w:p>
    <w:p>
      <w:pPr>
        <w:spacing w:after="140" w:line="360"/>
        <w:jc w:val="both"/>
      </w:pPr>
      <w:r>
        <w:t>调度系统优化:以受控脚本、隔离端口、受管会话和验收矩阵约束任务提交，避免多项目互相覆盖环境。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数据版本管理:量化样本窗口、回测结果、模型摘要、生成资产和演示系统数据库均要求可定位、可迁移、可复核。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模型注册表:当前以文件、JSON 摘要、任务表、模型服务调用记录 和文档索引为主，后续可再接入统一注册表。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成本/利用率周报:本期建议按“量化回测/模型训练/纸面运行/生图真实模型服务通道 调用/演示服务”分栏统计，不混入生产收益口径。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六、风险与依赖</w:t>
      </w:r>
    </w:p>
    <w:p>
      <w:pPr>
        <w:pStyle w:val="Heading1"/>
        <w:spacing w:after="180" w:before="360"/>
      </w:pPr>
      <w:r>
        <w:t>研究方向收敛压力仍然存在。多个量化分支同时推进，必须保留 失败即阻断 机制：样本不足、样本外为负、污染过重、证据缺失都直接阻断。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数据质量在规模化后会暴露。第二期已把缺失、延迟、样本窗口、合约/现货差异和成本假设纳入复核，但仍需持续巡检。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生图真实模型服务通道有直接费用风险。真实通道需要成本确认、有效密钥、非模拟输出和可下载资产同时满足，失败不得被表述为成功。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两条线竞争算力时，临时大任务需要说明研究目的和停止条件，避免为了“维持表面运行”而无限消耗。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100M 专线在模型下载、数据回填和演示系统公网访问时仍可能形成瓶颈，建议把大文件镜像到本地并错峰同步。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七、阶段评审清单(第73天)</w:t>
      </w:r>
    </w:p>
    <w:p>
      <w:pPr>
        <w:pStyle w:val="Heading1"/>
        <w:spacing w:after="180" w:before="360"/>
      </w:pPr>
      <w:r>
        <w:t>本期结束当天建议按“保留、观察、停止投入”三类评审。任意未达标项不得进入第三期重型消耗。</w:t>
      </w:r>
    </w:p>
    <w:p>
      <w:pPr>
        <w:spacing w:after="140" w:line="360"/>
        <w:jc w:val="both"/>
      </w:pPr>
      <w:r>
        <w:t>量化研究</w:t>
      </w:r>
    </w:p>
    <w:p>
      <w:pPr>
        <w:pStyle w:val="Heading3"/>
        <w:spacing w:after="80" w:before="180"/>
      </w:pPr>
      <w:r>
        <w:t>☑  多路线候选策略/模型已形成研究证据池，失败分支有阻断原因</w:t>
      </w:r>
    </w:p>
    <w:p>
      <w:pPr>
        <w:spacing w:after="80" w:line="340"/>
        <w:ind w:left="360"/>
      </w:pPr>
      <w:r>
        <w:t>☑  IS/OOS、walk-forward、PSR/DSR、纸面门禁等方法论已纳入流程</w:t>
      </w:r>
    </w:p>
    <w:p>
      <w:pPr>
        <w:spacing w:after="80" w:line="340"/>
        <w:ind w:left="360"/>
      </w:pPr>
      <w:r>
        <w:t>☑  回测框架、微观结构仿真、套利回放和日内纸面框架均有阶段性证据</w:t>
      </w:r>
    </w:p>
    <w:p>
      <w:pPr>
        <w:spacing w:after="80" w:line="340"/>
        <w:ind w:left="360"/>
      </w:pPr>
      <w:r>
        <w:t>☑  组合/策略比较报告按研究口径完成，未表述为实盘收益</w:t>
      </w:r>
    </w:p>
    <w:p>
      <w:pPr>
        <w:spacing w:after="80" w:line="340"/>
        <w:ind w:left="360"/>
      </w:pPr>
      <w:r>
        <w:t>☑  第三期收敛方向已锁定为证据更完整的少数研究线</w:t>
      </w:r>
    </w:p>
    <w:p>
      <w:pPr>
        <w:spacing w:after="80" w:line="340"/>
        <w:ind w:left="360"/>
      </w:pPr>
      <w:r>
        <w:t>生图模型与演示系统</w:t>
      </w:r>
    </w:p>
    <w:p>
      <w:pPr>
        <w:pStyle w:val="Heading3"/>
        <w:spacing w:after="80" w:before="180"/>
      </w:pPr>
      <w:r>
        <w:t>☑  自训练模型通过 OpenAI 兼容接口接入，并覆盖生成/编辑关键路径</w:t>
      </w:r>
    </w:p>
    <w:p>
      <w:pPr>
        <w:spacing w:after="80" w:line="340"/>
        <w:ind w:left="360"/>
      </w:pPr>
      <w:r>
        <w:t>☑  参考图、多图/故事、模板和自由提示词的演示系统链路已验证</w:t>
      </w:r>
    </w:p>
    <w:p>
      <w:pPr>
        <w:spacing w:after="80" w:line="340"/>
        <w:ind w:left="360"/>
      </w:pPr>
      <w:r>
        <w:t>☑  预扣、退款、结果不确定状态、模型服务调用记录和成本估算已形成闭环</w:t>
      </w:r>
    </w:p>
    <w:p>
      <w:pPr>
        <w:spacing w:after="80" w:line="340"/>
        <w:ind w:left="360"/>
      </w:pPr>
      <w:r>
        <w:t>☑  演示站可访问，反馈和 问题清单 可继续汇总</w:t>
      </w:r>
    </w:p>
    <w:p>
      <w:pPr>
        <w:spacing w:after="80" w:line="340"/>
        <w:ind w:left="360"/>
      </w:pPr>
      <w:r>
        <w:t>☑  视频方向仅作为可选预研，未列为正式交付承诺</w:t>
      </w:r>
    </w:p>
    <w:p>
      <w:pPr>
        <w:spacing w:after="80" w:line="340"/>
        <w:ind w:left="360"/>
      </w:pPr>
      <w:r>
        <w:t>基础设施</w:t>
      </w:r>
    </w:p>
    <w:p>
      <w:pPr>
        <w:pStyle w:val="Heading3"/>
        <w:spacing w:after="80" w:before="180"/>
      </w:pPr>
      <w:r>
        <w:t>☑  20 台规模下的研究消耗可按任务、工件、日志和文档追踪</w:t>
      </w:r>
    </w:p>
    <w:p>
      <w:pPr>
        <w:spacing w:after="80" w:line="340"/>
        <w:ind w:left="360"/>
      </w:pPr>
      <w:r>
        <w:t>☑  数据版本/样本窗口/模型摘要/生成资产均有归档规则</w:t>
      </w:r>
    </w:p>
    <w:p>
      <w:pPr>
        <w:spacing w:after="80" w:line="340"/>
        <w:ind w:left="360"/>
      </w:pPr>
      <w:r>
        <w:t>☑  生图真实模型服务通道 与 模拟生成通道的边界清楚</w:t>
      </w:r>
    </w:p>
    <w:p>
      <w:pPr>
        <w:spacing w:after="80" w:line="340"/>
        <w:ind w:left="360"/>
      </w:pPr>
      <w:r>
        <w:t>☑  成本和利用率统计建议已形成，第三期可按周汇总</w:t>
      </w:r>
    </w:p>
    <w:p>
      <w:pPr>
        <w:spacing w:after="80" w:line="340"/>
        <w:ind w:left="360"/>
      </w:pPr>
      <w:r>
        <w:t>八、交接给第三期的清单</w:t>
      </w:r>
    </w:p>
    <w:p>
      <w:pPr>
        <w:pStyle w:val="Heading1"/>
        <w:spacing w:after="180" w:before="360"/>
      </w:pPr>
      <w:r>
        <w:t>第三期是收敛和归档阶段，不建议再无差别扩大方向。第二期最后两周需要把继续投入的理由写清楚。</w:t>
      </w:r>
    </w:p>
    <w:p>
      <w:pPr>
        <w:spacing w:after="140" w:line="360"/>
        <w:jc w:val="both"/>
      </w:pPr>
      <w:r>
        <w:t>量化:保留少数证据完整的元标签、时序、微观结构、套利和日内纸面方向，停止样本外表现明显恶化的分支。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量化:第三期需要的稳健性测试矩阵已按年份、市场状态、成本、滑点、交易数和污染风险定义。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量化:纸面运行与实盘边界继续保持 失败即阻断，未通过两段非重叠纸面样本前不进入真实资金。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生图:是否继续扩大自训练模型推理、参考图、故事批量和视频方向，需要以真实成本和演示系统反馈为准。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生图:真实模型服务通道 的成本、失败率、输出质量和下载成功率需要形成同一张复核表，避免只看生成数量。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生图:演示系统内部试用版 的反馈转化为第三期需求列表，优先解决失败可解释、重试、下载和管理体验。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基础设施:为 36 台并发准备存储、日志、端口、验收脚本和公网演示系统复核预案。</w:t>
      </w:r>
    </w:p>
    <w:p>
      <w:pPr>
        <w:pStyle w:val="ListParagraph"/>
        <w:numPr>
          <w:ilvl w:val="0"/>
          <w:numId w:val="2"/>
        </w:numPr>
        <w:spacing w:after="80" w:line="340"/>
        <w:jc w:val="both"/>
      </w:pPr>
      <w:r>
        <w:t>人员:第三期建议设置值班/验收责任人，避免高峰期只看 GPU 利用率、不看产出证据。</w:t>
      </w:r>
    </w:p>
    <w:p>
      <w:pPr>
        <w:spacing w:before="360"/>
        <w:jc w:val="center"/>
      </w:pPr>
      <w:r>
        <w:t>—— 第二期文档完 ——</w:t>
      </w:r>
    </w:p>
    <w:sectPr>
      <w:headerReference w:type="default" ns2:id="rId7"/>
      <w:footerReference w:type="default" ns2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808080"/>
        <w:sz w:val="18"/>
        <w:szCs w:val="18"/>
      </w:rPr>
      <w:t xml:space="preserve">— 第 </w:t>
    </w:r>
    <w:r>
      <w:rPr>
        <w:rFonts w:ascii="Microsoft YaHei" w:cs="Microsoft YaHei" w:eastAsia="Microsoft YaHei" w:hAnsi="Microsoft YaHei"/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icrosoft YaHei" w:cs="Microsoft YaHei" w:eastAsia="Microsoft YaHei" w:hAnsi="Microsoft YaHei"/>
        <w:color w:val="808080"/>
        <w:sz w:val="18"/>
        <w:szCs w:val="18"/>
      </w:rPr>
      <w:t xml:space="preserve"> 页 / 共 </w:t>
    </w:r>
    <w:r>
      <w:rPr>
        <w:rFonts w:ascii="Microsoft YaHei" w:cs="Microsoft YaHei" w:eastAsia="Microsoft YaHei" w:hAnsi="Microsoft YaHei"/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>
      <w:rPr>
        <w:rFonts w:ascii="Microsoft YaHei" w:cs="Microsoft YaHei" w:eastAsia="Microsoft YaHei" w:hAnsi="Microsoft YaHei"/>
        <w:color w:val="808080"/>
        <w:sz w:val="18"/>
        <w:szCs w:val="18"/>
      </w:rPr>
      <w:t xml:space="preserve"> 页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Microsoft YaHei" w:cs="Microsoft YaHei" w:eastAsia="Microsoft YaHei" w:hAnsi="Microsoft YaHei"/>
        <w:color w:val="808080"/>
        <w:sz w:val="18"/>
        <w:szCs w:val="18"/>
      </w:rPr>
      <w:t xml:space="preserve">第二期 · 扩研期  ·  6/19 - 8/30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Microsoft YaHei" w:cs="Microsoft YaHei" w:eastAsia="Microsoft YaHei" w:hAnsi="Microsoft YaHei"/>
      <w:b/>
      <w:bCs/>
      <w:color w:val="1F3864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60"/>
      <w:outlineLvl w:val="1"/>
    </w:pPr>
    <w:rPr>
      <w:rFonts w:ascii="Microsoft YaHei" w:cs="Microsoft YaHei" w:eastAsia="Microsoft YaHei" w:hAnsi="Microsoft YaHei"/>
      <w:b/>
      <w:bCs/>
      <w:color w:val="2E5395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Microsoft YaHei" w:cs="Microsoft YaHei" w:eastAsia="Microsoft YaHei" w:hAnsi="Microsoft YaHei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第二期 · 扩研期</dc:title>
  <dc:creator>R&amp;D Planning</dc:creator>
  <cp:lastModifiedBy>Un-named</cp:lastModifiedBy>
  <cp:revision>1</cp:revision>
  <dcterms:created xsi:type="dcterms:W3CDTF">2026-05-22T08:59:34.249Z</dcterms:created>
  <dcterms:modified xsi:type="dcterms:W3CDTF">2026-05-22T08:59:34.250Z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